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024C3" w14:textId="77777777" w:rsidR="00C16F43" w:rsidRDefault="00FD42D2">
      <w:pPr>
        <w:pBdr>
          <w:top w:val="nil"/>
          <w:left w:val="nil"/>
          <w:bottom w:val="nil"/>
          <w:right w:val="nil"/>
          <w:between w:val="nil"/>
        </w:pBdr>
        <w:spacing w:after="480"/>
        <w:jc w:val="left"/>
        <w:rPr>
          <w:b/>
          <w:sz w:val="32"/>
          <w:szCs w:val="32"/>
        </w:rPr>
      </w:pPr>
      <w:bookmarkStart w:id="0" w:name="_GoBack"/>
      <w:bookmarkEnd w:id="0"/>
      <w:r>
        <w:rPr>
          <w:b/>
          <w:sz w:val="32"/>
          <w:szCs w:val="32"/>
        </w:rPr>
        <w:t>Erasmus+ learning agreement</w:t>
      </w:r>
    </w:p>
    <w:p w14:paraId="3CCF361D" w14:textId="77777777" w:rsidR="00C16F43" w:rsidRDefault="00FD42D2">
      <w:pPr>
        <w:pStyle w:val="Naslov1"/>
        <w:numPr>
          <w:ilvl w:val="0"/>
          <w:numId w:val="3"/>
        </w:numPr>
      </w:pPr>
      <w:r>
        <w:t>Purpose of the learning agreement</w:t>
      </w:r>
    </w:p>
    <w:p w14:paraId="745BD83D" w14:textId="77777777" w:rsidR="00C16F43" w:rsidRDefault="00FD42D2">
      <w:pPr>
        <w:pBdr>
          <w:top w:val="nil"/>
          <w:left w:val="nil"/>
          <w:bottom w:val="nil"/>
          <w:right w:val="nil"/>
          <w:between w:val="nil"/>
        </w:pBdr>
        <w:spacing w:before="240" w:after="240"/>
      </w:pPr>
      <w:r>
        <w:t>This learning agreement defines the conditions and expected outcomes of a learning mobility organised within the framework of the Erasmus+ programme. Parties in this agreement shall abide by the programme’s rules and quality standards.</w:t>
      </w:r>
    </w:p>
    <w:p w14:paraId="028396F9" w14:textId="77777777" w:rsidR="00C16F43" w:rsidRDefault="00FD42D2">
      <w:pPr>
        <w:pStyle w:val="Naslov1"/>
        <w:numPr>
          <w:ilvl w:val="0"/>
          <w:numId w:val="3"/>
        </w:numPr>
      </w:pPr>
      <w:r>
        <w:t>Information about the learning mobility</w:t>
      </w:r>
    </w:p>
    <w:tbl>
      <w:tblPr>
        <w:tblStyle w:val="a"/>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C16F43" w14:paraId="725EE3B3" w14:textId="77777777">
        <w:tc>
          <w:tcPr>
            <w:tcW w:w="2300" w:type="dxa"/>
            <w:vAlign w:val="center"/>
          </w:tcPr>
          <w:p w14:paraId="0D4376D9" w14:textId="77777777" w:rsidR="00C16F43" w:rsidRDefault="00FD42D2">
            <w:pPr>
              <w:pBdr>
                <w:top w:val="nil"/>
                <w:left w:val="nil"/>
                <w:bottom w:val="nil"/>
                <w:right w:val="nil"/>
                <w:between w:val="nil"/>
              </w:pBdr>
              <w:jc w:val="left"/>
            </w:pPr>
            <w:r>
              <w:t>Field</w:t>
            </w:r>
          </w:p>
        </w:tc>
        <w:tc>
          <w:tcPr>
            <w:tcW w:w="6489" w:type="dxa"/>
            <w:vAlign w:val="center"/>
          </w:tcPr>
          <w:p w14:paraId="703312A3" w14:textId="77777777" w:rsidR="00C16F43" w:rsidRDefault="00FD42D2">
            <w:pPr>
              <w:pBdr>
                <w:top w:val="nil"/>
                <w:left w:val="nil"/>
                <w:bottom w:val="nil"/>
                <w:right w:val="nil"/>
                <w:between w:val="nil"/>
              </w:pBdr>
              <w:jc w:val="left"/>
            </w:pPr>
            <w:r>
              <w:t>School Education</w:t>
            </w:r>
          </w:p>
        </w:tc>
      </w:tr>
      <w:tr w:rsidR="00C16F43" w14:paraId="575D317F" w14:textId="77777777">
        <w:tc>
          <w:tcPr>
            <w:tcW w:w="2300" w:type="dxa"/>
            <w:vAlign w:val="center"/>
          </w:tcPr>
          <w:p w14:paraId="3D523B8B" w14:textId="77777777" w:rsidR="00C16F43" w:rsidRDefault="00FD42D2">
            <w:pPr>
              <w:pBdr>
                <w:top w:val="nil"/>
                <w:left w:val="nil"/>
                <w:bottom w:val="nil"/>
                <w:right w:val="nil"/>
                <w:between w:val="nil"/>
              </w:pBdr>
              <w:jc w:val="left"/>
            </w:pPr>
            <w:r>
              <w:t>Activity type:</w:t>
            </w:r>
          </w:p>
        </w:tc>
        <w:tc>
          <w:tcPr>
            <w:tcW w:w="6489" w:type="dxa"/>
            <w:vAlign w:val="center"/>
          </w:tcPr>
          <w:p w14:paraId="16C32488" w14:textId="77777777" w:rsidR="00C16F43" w:rsidRDefault="00FD42D2">
            <w:pPr>
              <w:pBdr>
                <w:top w:val="nil"/>
                <w:left w:val="nil"/>
                <w:bottom w:val="nil"/>
                <w:right w:val="nil"/>
                <w:between w:val="nil"/>
              </w:pBdr>
              <w:jc w:val="left"/>
            </w:pPr>
            <w:r>
              <w:t>Job Shadowing</w:t>
            </w:r>
          </w:p>
        </w:tc>
      </w:tr>
      <w:tr w:rsidR="00C16F43" w14:paraId="187D9F56" w14:textId="77777777">
        <w:tc>
          <w:tcPr>
            <w:tcW w:w="2300" w:type="dxa"/>
            <w:vAlign w:val="center"/>
          </w:tcPr>
          <w:p w14:paraId="2D40C8E7" w14:textId="77777777" w:rsidR="00C16F43" w:rsidRDefault="00FD42D2">
            <w:pPr>
              <w:pBdr>
                <w:top w:val="nil"/>
                <w:left w:val="nil"/>
                <w:bottom w:val="nil"/>
                <w:right w:val="nil"/>
                <w:between w:val="nil"/>
              </w:pBdr>
              <w:jc w:val="left"/>
            </w:pPr>
            <w:r>
              <w:t>Mode:</w:t>
            </w:r>
          </w:p>
        </w:tc>
        <w:tc>
          <w:tcPr>
            <w:tcW w:w="6489" w:type="dxa"/>
            <w:vAlign w:val="center"/>
          </w:tcPr>
          <w:p w14:paraId="296811BF" w14:textId="77777777" w:rsidR="00C16F43" w:rsidRDefault="00FD42D2">
            <w:pPr>
              <w:pBdr>
                <w:top w:val="nil"/>
                <w:left w:val="nil"/>
                <w:bottom w:val="nil"/>
                <w:right w:val="nil"/>
                <w:between w:val="nil"/>
              </w:pBdr>
              <w:jc w:val="left"/>
            </w:pPr>
            <w:r>
              <w:t xml:space="preserve">Physical </w:t>
            </w:r>
          </w:p>
        </w:tc>
      </w:tr>
      <w:tr w:rsidR="00C16F43" w14:paraId="04DFF815" w14:textId="77777777">
        <w:tc>
          <w:tcPr>
            <w:tcW w:w="2300" w:type="dxa"/>
            <w:vAlign w:val="center"/>
          </w:tcPr>
          <w:p w14:paraId="26565CA4" w14:textId="77777777" w:rsidR="00C16F43" w:rsidRDefault="00FD42D2">
            <w:pPr>
              <w:pBdr>
                <w:top w:val="nil"/>
                <w:left w:val="nil"/>
                <w:bottom w:val="nil"/>
                <w:right w:val="nil"/>
                <w:between w:val="nil"/>
              </w:pBdr>
              <w:jc w:val="left"/>
            </w:pPr>
            <w:r>
              <w:t>Start date:</w:t>
            </w:r>
          </w:p>
        </w:tc>
        <w:tc>
          <w:tcPr>
            <w:tcW w:w="6489" w:type="dxa"/>
            <w:vAlign w:val="center"/>
          </w:tcPr>
          <w:p w14:paraId="5A2CD478" w14:textId="77777777" w:rsidR="00C16F43" w:rsidRDefault="00FD42D2">
            <w:pPr>
              <w:pBdr>
                <w:top w:val="nil"/>
                <w:left w:val="nil"/>
                <w:bottom w:val="nil"/>
                <w:right w:val="nil"/>
                <w:between w:val="nil"/>
              </w:pBdr>
              <w:jc w:val="left"/>
            </w:pPr>
            <w:r>
              <w:t>[03/12/2023]</w:t>
            </w:r>
          </w:p>
        </w:tc>
      </w:tr>
      <w:tr w:rsidR="00C16F43" w14:paraId="7FD455B2" w14:textId="77777777">
        <w:tc>
          <w:tcPr>
            <w:tcW w:w="2300" w:type="dxa"/>
            <w:vAlign w:val="center"/>
          </w:tcPr>
          <w:p w14:paraId="1F3CF41B" w14:textId="77777777" w:rsidR="00C16F43" w:rsidRDefault="00FD42D2">
            <w:pPr>
              <w:pBdr>
                <w:top w:val="nil"/>
                <w:left w:val="nil"/>
                <w:bottom w:val="nil"/>
                <w:right w:val="nil"/>
                <w:between w:val="nil"/>
              </w:pBdr>
              <w:jc w:val="left"/>
            </w:pPr>
            <w:r>
              <w:t>End date:</w:t>
            </w:r>
          </w:p>
        </w:tc>
        <w:tc>
          <w:tcPr>
            <w:tcW w:w="6489" w:type="dxa"/>
            <w:vAlign w:val="center"/>
          </w:tcPr>
          <w:p w14:paraId="006D6550" w14:textId="77777777" w:rsidR="00C16F43" w:rsidRDefault="00FD42D2">
            <w:pPr>
              <w:pBdr>
                <w:top w:val="nil"/>
                <w:left w:val="nil"/>
                <w:bottom w:val="nil"/>
                <w:right w:val="nil"/>
                <w:between w:val="nil"/>
              </w:pBdr>
              <w:jc w:val="left"/>
            </w:pPr>
            <w:r>
              <w:t>[08/12/2023]</w:t>
            </w:r>
          </w:p>
        </w:tc>
      </w:tr>
    </w:tbl>
    <w:p w14:paraId="0FE8913E" w14:textId="77777777" w:rsidR="00C16F43" w:rsidRDefault="00FD42D2">
      <w:pPr>
        <w:pStyle w:val="Naslov1"/>
        <w:numPr>
          <w:ilvl w:val="0"/>
          <w:numId w:val="3"/>
        </w:numPr>
      </w:pPr>
      <w:r>
        <w:t>Parties to the learning agreement</w:t>
      </w:r>
    </w:p>
    <w:p w14:paraId="6818B50A" w14:textId="77777777" w:rsidR="00C16F43" w:rsidRDefault="00FD42D2">
      <w:pPr>
        <w:pBdr>
          <w:top w:val="nil"/>
          <w:left w:val="nil"/>
          <w:bottom w:val="nil"/>
          <w:right w:val="nil"/>
          <w:between w:val="nil"/>
        </w:pBdr>
        <w:spacing w:before="240" w:after="240"/>
      </w:pPr>
      <w:r>
        <w:t>The learning agreement is concluded between the participant in the learning mobility, the sending organisation and the hosting organisation.</w:t>
      </w:r>
    </w:p>
    <w:p w14:paraId="16E61F58" w14:textId="77777777" w:rsidR="00C16F43" w:rsidRDefault="00FD42D2">
      <w:pPr>
        <w:pStyle w:val="Naslov2"/>
        <w:numPr>
          <w:ilvl w:val="1"/>
          <w:numId w:val="3"/>
        </w:numPr>
      </w:pPr>
      <w:r>
        <w:t>Participants in the learning mobility</w:t>
      </w:r>
    </w:p>
    <w:tbl>
      <w:tblPr>
        <w:tblStyle w:val="a0"/>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C16F43" w14:paraId="6175A524" w14:textId="77777777">
        <w:trPr>
          <w:trHeight w:val="348"/>
        </w:trPr>
        <w:tc>
          <w:tcPr>
            <w:tcW w:w="2300" w:type="dxa"/>
            <w:vAlign w:val="center"/>
          </w:tcPr>
          <w:p w14:paraId="154D3D3A" w14:textId="77777777" w:rsidR="00C16F43" w:rsidRDefault="00FD42D2">
            <w:pPr>
              <w:pBdr>
                <w:top w:val="nil"/>
                <w:left w:val="nil"/>
                <w:bottom w:val="nil"/>
                <w:right w:val="nil"/>
                <w:between w:val="nil"/>
              </w:pBdr>
              <w:jc w:val="left"/>
            </w:pPr>
            <w:r>
              <w:t>Full name:</w:t>
            </w:r>
          </w:p>
        </w:tc>
        <w:tc>
          <w:tcPr>
            <w:tcW w:w="6489" w:type="dxa"/>
            <w:vAlign w:val="center"/>
          </w:tcPr>
          <w:p w14:paraId="4F328DC5" w14:textId="01BD3B04" w:rsidR="00C16F43" w:rsidRDefault="00C16F43">
            <w:pPr>
              <w:pBdr>
                <w:top w:val="nil"/>
                <w:left w:val="nil"/>
                <w:bottom w:val="nil"/>
                <w:right w:val="nil"/>
                <w:between w:val="nil"/>
              </w:pBdr>
              <w:jc w:val="left"/>
            </w:pPr>
          </w:p>
        </w:tc>
      </w:tr>
      <w:tr w:rsidR="00C16F43" w14:paraId="69797834" w14:textId="77777777">
        <w:tc>
          <w:tcPr>
            <w:tcW w:w="2300" w:type="dxa"/>
            <w:vAlign w:val="center"/>
          </w:tcPr>
          <w:p w14:paraId="794D4977" w14:textId="77777777" w:rsidR="00C16F43" w:rsidRDefault="00FD42D2">
            <w:pPr>
              <w:pBdr>
                <w:top w:val="nil"/>
                <w:left w:val="nil"/>
                <w:bottom w:val="nil"/>
                <w:right w:val="nil"/>
                <w:between w:val="nil"/>
              </w:pBdr>
              <w:jc w:val="left"/>
            </w:pPr>
            <w:r>
              <w:t>Address:</w:t>
            </w:r>
          </w:p>
        </w:tc>
        <w:tc>
          <w:tcPr>
            <w:tcW w:w="6489" w:type="dxa"/>
            <w:vAlign w:val="center"/>
          </w:tcPr>
          <w:p w14:paraId="4AEFB82D" w14:textId="0E6AA1FD" w:rsidR="00C16F43" w:rsidRDefault="00C16F43">
            <w:pPr>
              <w:pBdr>
                <w:top w:val="nil"/>
                <w:left w:val="nil"/>
                <w:bottom w:val="nil"/>
                <w:right w:val="nil"/>
                <w:between w:val="nil"/>
              </w:pBdr>
              <w:jc w:val="left"/>
            </w:pPr>
          </w:p>
        </w:tc>
      </w:tr>
      <w:tr w:rsidR="00C16F43" w14:paraId="5DA7723B" w14:textId="77777777">
        <w:tc>
          <w:tcPr>
            <w:tcW w:w="2300" w:type="dxa"/>
            <w:vAlign w:val="center"/>
          </w:tcPr>
          <w:p w14:paraId="74054545" w14:textId="77777777" w:rsidR="00C16F43" w:rsidRDefault="00FD42D2">
            <w:pPr>
              <w:pBdr>
                <w:top w:val="nil"/>
                <w:left w:val="nil"/>
                <w:bottom w:val="nil"/>
                <w:right w:val="nil"/>
                <w:between w:val="nil"/>
              </w:pBdr>
              <w:jc w:val="left"/>
            </w:pPr>
            <w:r>
              <w:t>Email:</w:t>
            </w:r>
          </w:p>
        </w:tc>
        <w:tc>
          <w:tcPr>
            <w:tcW w:w="6489" w:type="dxa"/>
            <w:vAlign w:val="center"/>
          </w:tcPr>
          <w:p w14:paraId="093F54DE" w14:textId="2BD51EE2" w:rsidR="00C16F43" w:rsidRDefault="00C16F43">
            <w:pPr>
              <w:pBdr>
                <w:top w:val="nil"/>
                <w:left w:val="nil"/>
                <w:bottom w:val="nil"/>
                <w:right w:val="nil"/>
                <w:between w:val="nil"/>
              </w:pBdr>
              <w:jc w:val="left"/>
            </w:pPr>
          </w:p>
        </w:tc>
      </w:tr>
      <w:tr w:rsidR="00C16F43" w14:paraId="1E724D8A" w14:textId="77777777">
        <w:tc>
          <w:tcPr>
            <w:tcW w:w="2300" w:type="dxa"/>
            <w:vAlign w:val="center"/>
          </w:tcPr>
          <w:p w14:paraId="7BD63A5D" w14:textId="77777777" w:rsidR="00C16F43" w:rsidRDefault="00FD42D2">
            <w:pPr>
              <w:pBdr>
                <w:top w:val="nil"/>
                <w:left w:val="nil"/>
                <w:bottom w:val="nil"/>
                <w:right w:val="nil"/>
                <w:between w:val="nil"/>
              </w:pBdr>
              <w:jc w:val="left"/>
            </w:pPr>
            <w:r>
              <w:t>Phone number(s):</w:t>
            </w:r>
          </w:p>
        </w:tc>
        <w:tc>
          <w:tcPr>
            <w:tcW w:w="6489" w:type="dxa"/>
            <w:vAlign w:val="center"/>
          </w:tcPr>
          <w:p w14:paraId="648A086E" w14:textId="0542D3AC" w:rsidR="00C16F43" w:rsidRDefault="00C16F43">
            <w:pPr>
              <w:pBdr>
                <w:top w:val="nil"/>
                <w:left w:val="nil"/>
                <w:bottom w:val="nil"/>
                <w:right w:val="nil"/>
                <w:between w:val="nil"/>
              </w:pBdr>
              <w:jc w:val="left"/>
            </w:pPr>
          </w:p>
        </w:tc>
      </w:tr>
    </w:tbl>
    <w:p w14:paraId="221557FD" w14:textId="77777777" w:rsidR="00C16F43" w:rsidRDefault="00C16F43"/>
    <w:p w14:paraId="27DD48DF" w14:textId="77777777" w:rsidR="00C16F43" w:rsidRDefault="00FD42D2">
      <w:pPr>
        <w:pStyle w:val="Naslov2"/>
        <w:numPr>
          <w:ilvl w:val="1"/>
          <w:numId w:val="3"/>
        </w:numPr>
      </w:pPr>
      <w:r>
        <w:t>Sending organisation</w:t>
      </w:r>
    </w:p>
    <w:tbl>
      <w:tblPr>
        <w:tblStyle w:val="a1"/>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C16F43" w14:paraId="64BA9A37" w14:textId="77777777">
        <w:tc>
          <w:tcPr>
            <w:tcW w:w="2300" w:type="dxa"/>
            <w:vAlign w:val="center"/>
          </w:tcPr>
          <w:p w14:paraId="6F41632F" w14:textId="77777777" w:rsidR="00C16F43" w:rsidRDefault="00FD42D2">
            <w:pPr>
              <w:pBdr>
                <w:top w:val="nil"/>
                <w:left w:val="nil"/>
                <w:bottom w:val="nil"/>
                <w:right w:val="nil"/>
                <w:between w:val="nil"/>
              </w:pBdr>
              <w:jc w:val="left"/>
            </w:pPr>
            <w:r>
              <w:t>Organisation name:</w:t>
            </w:r>
          </w:p>
        </w:tc>
        <w:tc>
          <w:tcPr>
            <w:tcW w:w="6489" w:type="dxa"/>
            <w:vAlign w:val="center"/>
          </w:tcPr>
          <w:p w14:paraId="3A86E98D" w14:textId="6FBF1AE3" w:rsidR="00C16F43" w:rsidRDefault="00C16F43">
            <w:pPr>
              <w:pBdr>
                <w:top w:val="nil"/>
                <w:left w:val="nil"/>
                <w:bottom w:val="nil"/>
                <w:right w:val="nil"/>
                <w:between w:val="nil"/>
              </w:pBdr>
              <w:jc w:val="left"/>
            </w:pPr>
          </w:p>
        </w:tc>
      </w:tr>
      <w:tr w:rsidR="00C16F43" w14:paraId="7765811D" w14:textId="77777777">
        <w:tc>
          <w:tcPr>
            <w:tcW w:w="2300" w:type="dxa"/>
            <w:vAlign w:val="center"/>
          </w:tcPr>
          <w:p w14:paraId="65BB2192" w14:textId="77777777" w:rsidR="00C16F43" w:rsidRDefault="00FD42D2">
            <w:pPr>
              <w:pBdr>
                <w:top w:val="nil"/>
                <w:left w:val="nil"/>
                <w:bottom w:val="nil"/>
                <w:right w:val="nil"/>
                <w:between w:val="nil"/>
              </w:pBdr>
              <w:jc w:val="left"/>
            </w:pPr>
            <w:r>
              <w:t>Address:</w:t>
            </w:r>
          </w:p>
        </w:tc>
        <w:tc>
          <w:tcPr>
            <w:tcW w:w="6489" w:type="dxa"/>
            <w:vAlign w:val="center"/>
          </w:tcPr>
          <w:p w14:paraId="7815CCFA" w14:textId="25A7459B" w:rsidR="00C16F43" w:rsidRDefault="00C16F43">
            <w:pPr>
              <w:jc w:val="left"/>
            </w:pPr>
          </w:p>
        </w:tc>
      </w:tr>
    </w:tbl>
    <w:p w14:paraId="0C171DC4" w14:textId="77777777" w:rsidR="00C16F43" w:rsidRDefault="00FD42D2">
      <w:pPr>
        <w:pStyle w:val="Naslov2"/>
        <w:numPr>
          <w:ilvl w:val="1"/>
          <w:numId w:val="3"/>
        </w:numPr>
      </w:pPr>
      <w:r>
        <w:t>Hosting organisation</w:t>
      </w:r>
    </w:p>
    <w:tbl>
      <w:tblPr>
        <w:tblStyle w:val="a2"/>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C16F43" w14:paraId="2A46194C" w14:textId="77777777">
        <w:tc>
          <w:tcPr>
            <w:tcW w:w="2300" w:type="dxa"/>
            <w:vAlign w:val="center"/>
          </w:tcPr>
          <w:p w14:paraId="6DDD8ECA" w14:textId="77777777" w:rsidR="00C16F43" w:rsidRDefault="00FD42D2">
            <w:pPr>
              <w:jc w:val="left"/>
            </w:pPr>
            <w:r>
              <w:t>Organisation name:</w:t>
            </w:r>
          </w:p>
        </w:tc>
        <w:tc>
          <w:tcPr>
            <w:tcW w:w="6489" w:type="dxa"/>
            <w:vAlign w:val="center"/>
          </w:tcPr>
          <w:p w14:paraId="67BBCA20" w14:textId="0F5F1657" w:rsidR="00C16F43" w:rsidRDefault="00C16F43">
            <w:pPr>
              <w:jc w:val="left"/>
            </w:pPr>
          </w:p>
        </w:tc>
      </w:tr>
      <w:tr w:rsidR="00C16F43" w14:paraId="06A075E9" w14:textId="77777777">
        <w:tc>
          <w:tcPr>
            <w:tcW w:w="2300" w:type="dxa"/>
            <w:vAlign w:val="center"/>
          </w:tcPr>
          <w:p w14:paraId="5E45531F" w14:textId="77777777" w:rsidR="00C16F43" w:rsidRDefault="00FD42D2">
            <w:pPr>
              <w:jc w:val="left"/>
            </w:pPr>
            <w:r>
              <w:t>Address:</w:t>
            </w:r>
          </w:p>
        </w:tc>
        <w:tc>
          <w:tcPr>
            <w:tcW w:w="6489" w:type="dxa"/>
            <w:vAlign w:val="center"/>
          </w:tcPr>
          <w:p w14:paraId="4C6981AC" w14:textId="03E550F2" w:rsidR="00C16F43" w:rsidRDefault="00C16F43">
            <w:pPr>
              <w:jc w:val="left"/>
            </w:pPr>
          </w:p>
        </w:tc>
      </w:tr>
    </w:tbl>
    <w:p w14:paraId="54D817A0" w14:textId="77777777" w:rsidR="00C16F43" w:rsidRDefault="00FD42D2">
      <w:pPr>
        <w:pStyle w:val="Naslov1"/>
        <w:numPr>
          <w:ilvl w:val="0"/>
          <w:numId w:val="3"/>
        </w:numPr>
      </w:pPr>
      <w:r>
        <w:t>Learning context</w:t>
      </w:r>
    </w:p>
    <w:tbl>
      <w:tblPr>
        <w:tblStyle w:val="a3"/>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C16F43" w14:paraId="421E8226" w14:textId="77777777">
        <w:tc>
          <w:tcPr>
            <w:tcW w:w="8789" w:type="dxa"/>
            <w:gridSpan w:val="2"/>
            <w:vAlign w:val="center"/>
          </w:tcPr>
          <w:p w14:paraId="010F46DF" w14:textId="77777777" w:rsidR="00C16F43" w:rsidRDefault="00FD42D2">
            <w:pPr>
              <w:pBdr>
                <w:top w:val="nil"/>
                <w:left w:val="nil"/>
                <w:bottom w:val="nil"/>
                <w:right w:val="nil"/>
                <w:between w:val="nil"/>
              </w:pBdr>
              <w:jc w:val="left"/>
            </w:pPr>
            <w:r>
              <w:t>At the sending organisation, the participants are currently working in the following capacity:</w:t>
            </w:r>
          </w:p>
        </w:tc>
      </w:tr>
      <w:tr w:rsidR="00C16F43" w14:paraId="60233245" w14:textId="77777777">
        <w:tc>
          <w:tcPr>
            <w:tcW w:w="2835" w:type="dxa"/>
            <w:vAlign w:val="center"/>
          </w:tcPr>
          <w:p w14:paraId="2773BAEF" w14:textId="77777777" w:rsidR="00C16F43" w:rsidRDefault="00FD42D2">
            <w:pPr>
              <w:pBdr>
                <w:top w:val="nil"/>
                <w:left w:val="nil"/>
                <w:bottom w:val="nil"/>
                <w:right w:val="nil"/>
                <w:between w:val="nil"/>
              </w:pBdr>
              <w:jc w:val="left"/>
            </w:pPr>
            <w:r>
              <w:t>Job title:</w:t>
            </w:r>
          </w:p>
        </w:tc>
        <w:tc>
          <w:tcPr>
            <w:tcW w:w="5954" w:type="dxa"/>
            <w:vAlign w:val="center"/>
          </w:tcPr>
          <w:p w14:paraId="1DD71A93" w14:textId="77777777" w:rsidR="00C16F43" w:rsidRDefault="00FD42D2">
            <w:pPr>
              <w:pBdr>
                <w:top w:val="nil"/>
                <w:left w:val="nil"/>
                <w:bottom w:val="nil"/>
                <w:right w:val="nil"/>
                <w:between w:val="nil"/>
              </w:pBdr>
              <w:jc w:val="left"/>
            </w:pPr>
            <w:r>
              <w:t>Professor</w:t>
            </w:r>
          </w:p>
        </w:tc>
      </w:tr>
      <w:tr w:rsidR="00C16F43" w14:paraId="28D67298" w14:textId="77777777">
        <w:tc>
          <w:tcPr>
            <w:tcW w:w="2835" w:type="dxa"/>
            <w:vAlign w:val="center"/>
          </w:tcPr>
          <w:p w14:paraId="414C7C19" w14:textId="77777777" w:rsidR="00C16F43" w:rsidRDefault="00FD42D2">
            <w:pPr>
              <w:pBdr>
                <w:top w:val="nil"/>
                <w:left w:val="nil"/>
                <w:bottom w:val="nil"/>
                <w:right w:val="nil"/>
                <w:between w:val="nil"/>
              </w:pBdr>
              <w:jc w:val="left"/>
            </w:pPr>
            <w:r>
              <w:t>Main tasks:</w:t>
            </w:r>
          </w:p>
        </w:tc>
        <w:tc>
          <w:tcPr>
            <w:tcW w:w="5954" w:type="dxa"/>
            <w:vAlign w:val="center"/>
          </w:tcPr>
          <w:p w14:paraId="2E41AEAA" w14:textId="77777777" w:rsidR="00C16F43" w:rsidRDefault="00FD42D2">
            <w:pPr>
              <w:pBdr>
                <w:top w:val="nil"/>
                <w:left w:val="nil"/>
                <w:bottom w:val="nil"/>
                <w:right w:val="nil"/>
                <w:between w:val="nil"/>
              </w:pBdr>
              <w:jc w:val="left"/>
            </w:pPr>
            <w:r>
              <w:t>Lecturing, Lab, Science Club</w:t>
            </w:r>
          </w:p>
        </w:tc>
      </w:tr>
    </w:tbl>
    <w:p w14:paraId="45F70BF5" w14:textId="77777777" w:rsidR="00C16F43" w:rsidRDefault="00FD42D2">
      <w:pPr>
        <w:pStyle w:val="Naslov1"/>
        <w:numPr>
          <w:ilvl w:val="0"/>
          <w:numId w:val="3"/>
        </w:numPr>
      </w:pPr>
      <w:r>
        <w:lastRenderedPageBreak/>
        <w:t>Learning outcomes</w:t>
      </w:r>
    </w:p>
    <w:p w14:paraId="31928E92" w14:textId="77777777" w:rsidR="00C16F43" w:rsidRDefault="00FD42D2">
      <w:pPr>
        <w:spacing w:before="240" w:after="240"/>
      </w:pPr>
      <w:r>
        <w:t>The parties have agreed that the following learning outcomes should be achieved during the job shadowing mobility:</w:t>
      </w:r>
    </w:p>
    <w:p w14:paraId="5E744556" w14:textId="77777777" w:rsidR="00C16F43" w:rsidRDefault="00C16F43">
      <w:pPr>
        <w:spacing w:before="240" w:after="240"/>
      </w:pPr>
    </w:p>
    <w:tbl>
      <w:tblPr>
        <w:tblStyle w:val="a4"/>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4561775F" w14:textId="77777777">
        <w:tc>
          <w:tcPr>
            <w:tcW w:w="8789" w:type="dxa"/>
            <w:gridSpan w:val="2"/>
            <w:vAlign w:val="center"/>
          </w:tcPr>
          <w:p w14:paraId="2D94ED54" w14:textId="77777777" w:rsidR="00C16F43" w:rsidRDefault="00FD42D2">
            <w:pPr>
              <w:jc w:val="left"/>
              <w:rPr>
                <w:b/>
              </w:rPr>
            </w:pPr>
            <w:r>
              <w:rPr>
                <w:b/>
              </w:rPr>
              <w:t>Outcome 1: Develop Expertise in Coordinating Multi-Country Learning Mobility Programs</w:t>
            </w:r>
          </w:p>
        </w:tc>
      </w:tr>
      <w:tr w:rsidR="00C16F43" w14:paraId="309BB1F2" w14:textId="77777777">
        <w:tc>
          <w:tcPr>
            <w:tcW w:w="2268" w:type="dxa"/>
            <w:vAlign w:val="center"/>
          </w:tcPr>
          <w:p w14:paraId="472D58C5" w14:textId="77777777" w:rsidR="00C16F43" w:rsidRDefault="00FD42D2">
            <w:pPr>
              <w:jc w:val="left"/>
            </w:pPr>
            <w:r>
              <w:t>Relevant subject, skill or competence:</w:t>
            </w:r>
          </w:p>
        </w:tc>
        <w:tc>
          <w:tcPr>
            <w:tcW w:w="6521" w:type="dxa"/>
            <w:vAlign w:val="center"/>
          </w:tcPr>
          <w:p w14:paraId="31B34E91" w14:textId="77777777" w:rsidR="00C16F43" w:rsidRDefault="00FD42D2">
            <w:pPr>
              <w:jc w:val="left"/>
            </w:pPr>
            <w:r>
              <w:t>Relevant Subject/Area of Study: Education, School Administration</w:t>
            </w:r>
          </w:p>
          <w:p w14:paraId="46D9D1B7" w14:textId="77777777" w:rsidR="00C16F43" w:rsidRDefault="00C16F43">
            <w:pPr>
              <w:jc w:val="left"/>
            </w:pPr>
          </w:p>
          <w:p w14:paraId="2D4F266F" w14:textId="77777777" w:rsidR="00C16F43" w:rsidRDefault="00FD42D2">
            <w:pPr>
              <w:jc w:val="left"/>
            </w:pPr>
            <w:r>
              <w:t>Relevant Skills and Competences:</w:t>
            </w:r>
          </w:p>
          <w:p w14:paraId="508238B4" w14:textId="77777777" w:rsidR="00C16F43" w:rsidRDefault="00C16F43">
            <w:pPr>
              <w:jc w:val="left"/>
            </w:pPr>
          </w:p>
          <w:p w14:paraId="2EC63D10" w14:textId="77777777" w:rsidR="00C16F43" w:rsidRDefault="00FD42D2">
            <w:pPr>
              <w:jc w:val="left"/>
            </w:pPr>
            <w:r>
              <w:t>1. Proficiency in organising and managing multi-country educational trips for students.</w:t>
            </w:r>
          </w:p>
          <w:p w14:paraId="06216954" w14:textId="77777777" w:rsidR="00C16F43" w:rsidRDefault="00FD42D2">
            <w:pPr>
              <w:jc w:val="left"/>
            </w:pPr>
            <w:r>
              <w:t>2. Competence in coordinating travel, accommodation, and learning activities for a diverse group of students.</w:t>
            </w:r>
          </w:p>
          <w:p w14:paraId="4AD27F2D" w14:textId="77777777" w:rsidR="00C16F43" w:rsidRDefault="00FD42D2">
            <w:pPr>
              <w:jc w:val="left"/>
            </w:pPr>
            <w:r>
              <w:t>3. Knowledge of logistical aspects related to international school exchanges.</w:t>
            </w:r>
          </w:p>
          <w:p w14:paraId="0865BC04" w14:textId="77777777" w:rsidR="00C16F43" w:rsidRDefault="00FD42D2">
            <w:pPr>
              <w:jc w:val="left"/>
            </w:pPr>
            <w:r>
              <w:t>4. Effective communication and collaboration skills with partner schools and stakeholders.</w:t>
            </w:r>
          </w:p>
          <w:p w14:paraId="41EA90B0" w14:textId="77777777" w:rsidR="00C16F43" w:rsidRDefault="00FD42D2">
            <w:pPr>
              <w:jc w:val="left"/>
            </w:pPr>
            <w:r>
              <w:t>5. Ability to adapt to diverse educational systems and practices.</w:t>
            </w:r>
          </w:p>
          <w:p w14:paraId="5EBD825B" w14:textId="77777777" w:rsidR="00C16F43" w:rsidRDefault="00FD42D2">
            <w:pPr>
              <w:jc w:val="left"/>
            </w:pPr>
            <w:r>
              <w:t>6. Problem-solving skills to address challenges in coordinating international school mobility programs.</w:t>
            </w:r>
          </w:p>
          <w:p w14:paraId="273ED5C5" w14:textId="77777777" w:rsidR="00C16F43" w:rsidRDefault="00C16F43">
            <w:pPr>
              <w:jc w:val="left"/>
            </w:pPr>
          </w:p>
        </w:tc>
      </w:tr>
      <w:tr w:rsidR="00C16F43" w14:paraId="764DADBC" w14:textId="77777777">
        <w:tc>
          <w:tcPr>
            <w:tcW w:w="2268" w:type="dxa"/>
            <w:vAlign w:val="center"/>
          </w:tcPr>
          <w:p w14:paraId="60066069" w14:textId="77777777" w:rsidR="00C16F43" w:rsidRDefault="00FD42D2">
            <w:pPr>
              <w:jc w:val="left"/>
            </w:pPr>
            <w:r>
              <w:t>Description:</w:t>
            </w:r>
          </w:p>
        </w:tc>
        <w:tc>
          <w:tcPr>
            <w:tcW w:w="6521" w:type="dxa"/>
            <w:vAlign w:val="center"/>
          </w:tcPr>
          <w:p w14:paraId="6FAD91A1" w14:textId="77777777" w:rsidR="00C16F43" w:rsidRDefault="00FD42D2">
            <w:pPr>
              <w:jc w:val="left"/>
            </w:pPr>
            <w:r>
              <w:t>After the job shadowing trip to Zagreb, participants should:</w:t>
            </w:r>
          </w:p>
          <w:p w14:paraId="70B8C67F" w14:textId="77777777" w:rsidR="00C16F43" w:rsidRDefault="00C16F43">
            <w:pPr>
              <w:jc w:val="left"/>
            </w:pPr>
          </w:p>
          <w:p w14:paraId="7BA3DD76" w14:textId="77777777" w:rsidR="00C16F43" w:rsidRDefault="00FD42D2">
            <w:pPr>
              <w:jc w:val="left"/>
            </w:pPr>
            <w:r>
              <w:t>1. Possess advanced expertise in organising and managing multi-country learning mobility programs.</w:t>
            </w:r>
          </w:p>
          <w:p w14:paraId="5873E44A" w14:textId="77777777" w:rsidR="00C16F43" w:rsidRDefault="00FD42D2">
            <w:pPr>
              <w:jc w:val="left"/>
            </w:pPr>
            <w:r>
              <w:t>2. Demonstrate proficiency in coordinating various aspects of travel, accommodation, and learning activities for students.</w:t>
            </w:r>
          </w:p>
          <w:p w14:paraId="7109BE6D" w14:textId="77777777" w:rsidR="00C16F43" w:rsidRDefault="00FD42D2">
            <w:pPr>
              <w:jc w:val="left"/>
            </w:pPr>
            <w:r>
              <w:t>3. Apply knowledge of logistical considerations related to international school exchanges.</w:t>
            </w:r>
          </w:p>
          <w:p w14:paraId="1DDB49BF" w14:textId="77777777" w:rsidR="00C16F43" w:rsidRDefault="00FD42D2">
            <w:pPr>
              <w:jc w:val="left"/>
            </w:pPr>
            <w:r>
              <w:t>4. Exhibit strong communication and collaboration skills in working with partner schools and stakeholders.</w:t>
            </w:r>
          </w:p>
          <w:p w14:paraId="00A8D851" w14:textId="77777777" w:rsidR="00C16F43" w:rsidRDefault="00FD42D2">
            <w:pPr>
              <w:jc w:val="left"/>
            </w:pPr>
            <w:r>
              <w:t>5. Adapt successfully to different educational systems and practices.</w:t>
            </w:r>
          </w:p>
          <w:p w14:paraId="687F4A2E" w14:textId="77777777" w:rsidR="00C16F43" w:rsidRDefault="00FD42D2">
            <w:pPr>
              <w:jc w:val="left"/>
            </w:pPr>
            <w:r>
              <w:t>6. Employ problem-solving skills to address challenges and ensure the smooth coordination of international school mobility programs.</w:t>
            </w:r>
          </w:p>
        </w:tc>
      </w:tr>
    </w:tbl>
    <w:p w14:paraId="1D0F079A" w14:textId="77777777" w:rsidR="00C16F43" w:rsidRDefault="00C16F43"/>
    <w:p w14:paraId="64A34DA0" w14:textId="77777777" w:rsidR="00C16F43" w:rsidRDefault="00C16F43"/>
    <w:tbl>
      <w:tblPr>
        <w:tblStyle w:val="a5"/>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76E386AA" w14:textId="77777777">
        <w:trPr>
          <w:trHeight w:val="141"/>
        </w:trPr>
        <w:tc>
          <w:tcPr>
            <w:tcW w:w="8789" w:type="dxa"/>
            <w:gridSpan w:val="2"/>
            <w:vAlign w:val="center"/>
          </w:tcPr>
          <w:p w14:paraId="67E5D32E" w14:textId="77777777" w:rsidR="00C16F43" w:rsidRDefault="00FD42D2">
            <w:pPr>
              <w:jc w:val="left"/>
              <w:rPr>
                <w:b/>
              </w:rPr>
            </w:pPr>
            <w:r>
              <w:rPr>
                <w:b/>
              </w:rPr>
              <w:t>Outcome 2: Enhance Sustainability and Entrepreneurship Education Skills</w:t>
            </w:r>
          </w:p>
        </w:tc>
      </w:tr>
      <w:tr w:rsidR="00C16F43" w14:paraId="145F99E5" w14:textId="77777777">
        <w:tc>
          <w:tcPr>
            <w:tcW w:w="2268" w:type="dxa"/>
            <w:vAlign w:val="center"/>
          </w:tcPr>
          <w:p w14:paraId="11B22ABC" w14:textId="77777777" w:rsidR="00C16F43" w:rsidRDefault="00FD42D2">
            <w:pPr>
              <w:jc w:val="left"/>
            </w:pPr>
            <w:r>
              <w:t>Relevant subject, skill or competence:</w:t>
            </w:r>
          </w:p>
        </w:tc>
        <w:tc>
          <w:tcPr>
            <w:tcW w:w="6521" w:type="dxa"/>
            <w:vAlign w:val="center"/>
          </w:tcPr>
          <w:p w14:paraId="7B1E3540" w14:textId="77777777" w:rsidR="00C16F43" w:rsidRDefault="00FD42D2">
            <w:pPr>
              <w:jc w:val="left"/>
            </w:pPr>
            <w:r>
              <w:t>Relevant Subject/Area of Study: Sustainability Education, Entrepreneurship Education</w:t>
            </w:r>
          </w:p>
          <w:p w14:paraId="50EDD8FA" w14:textId="77777777" w:rsidR="00C16F43" w:rsidRDefault="00C16F43">
            <w:pPr>
              <w:jc w:val="left"/>
            </w:pPr>
          </w:p>
          <w:p w14:paraId="4FA9CAE8" w14:textId="77777777" w:rsidR="00C16F43" w:rsidRDefault="00FD42D2">
            <w:pPr>
              <w:jc w:val="left"/>
            </w:pPr>
            <w:r>
              <w:t>Relevant Skills and Competences:</w:t>
            </w:r>
          </w:p>
          <w:p w14:paraId="3FDA0930" w14:textId="77777777" w:rsidR="00C16F43" w:rsidRDefault="00C16F43">
            <w:pPr>
              <w:jc w:val="left"/>
            </w:pPr>
          </w:p>
          <w:p w14:paraId="2A9F4749" w14:textId="77777777" w:rsidR="00C16F43" w:rsidRDefault="00FD42D2">
            <w:pPr>
              <w:jc w:val="left"/>
            </w:pPr>
            <w:r>
              <w:t>1. knowledge of sustainability principles and concepts.</w:t>
            </w:r>
          </w:p>
          <w:p w14:paraId="3B7E94FC" w14:textId="77777777" w:rsidR="00C16F43" w:rsidRDefault="00FD42D2">
            <w:pPr>
              <w:jc w:val="left"/>
            </w:pPr>
            <w:r>
              <w:t>2. Understanding of entrepreneurship fundamentals and strategies.</w:t>
            </w:r>
          </w:p>
          <w:p w14:paraId="02265CBF" w14:textId="77777777" w:rsidR="00C16F43" w:rsidRDefault="00FD42D2">
            <w:pPr>
              <w:jc w:val="left"/>
            </w:pPr>
            <w:r>
              <w:t>3. Skill in integrating sustainability and entrepreneurship into the curriculum.</w:t>
            </w:r>
          </w:p>
          <w:p w14:paraId="14C0ACA8" w14:textId="77777777" w:rsidR="00C16F43" w:rsidRDefault="00FD42D2">
            <w:pPr>
              <w:jc w:val="left"/>
            </w:pPr>
            <w:r>
              <w:lastRenderedPageBreak/>
              <w:t>4. Ability to design and implement sustainability and entrepreneurship projects.</w:t>
            </w:r>
          </w:p>
          <w:p w14:paraId="3EAC7563" w14:textId="77777777" w:rsidR="00C16F43" w:rsidRDefault="00FD42D2">
            <w:pPr>
              <w:jc w:val="left"/>
            </w:pPr>
            <w:r>
              <w:t>5. Assessing the impact of sustainability and entrepreneurship initiatives.</w:t>
            </w:r>
          </w:p>
          <w:p w14:paraId="792024F6" w14:textId="77777777" w:rsidR="00C16F43" w:rsidRDefault="00FD42D2">
            <w:pPr>
              <w:jc w:val="left"/>
            </w:pPr>
            <w:r>
              <w:t>6. Effective teaching methods for sustainability and entrepreneurship education.</w:t>
            </w:r>
          </w:p>
          <w:p w14:paraId="6136F4F1" w14:textId="77777777" w:rsidR="00C16F43" w:rsidRDefault="00C16F43">
            <w:pPr>
              <w:jc w:val="left"/>
            </w:pPr>
          </w:p>
        </w:tc>
      </w:tr>
      <w:tr w:rsidR="00C16F43" w14:paraId="701D41A2" w14:textId="77777777">
        <w:tc>
          <w:tcPr>
            <w:tcW w:w="2268" w:type="dxa"/>
            <w:vAlign w:val="center"/>
          </w:tcPr>
          <w:p w14:paraId="329F9F96" w14:textId="77777777" w:rsidR="00C16F43" w:rsidRDefault="00FD42D2">
            <w:pPr>
              <w:jc w:val="left"/>
            </w:pPr>
            <w:r>
              <w:lastRenderedPageBreak/>
              <w:t>Description:</w:t>
            </w:r>
          </w:p>
        </w:tc>
        <w:tc>
          <w:tcPr>
            <w:tcW w:w="6521" w:type="dxa"/>
            <w:vAlign w:val="center"/>
          </w:tcPr>
          <w:p w14:paraId="30BA1C94" w14:textId="77777777" w:rsidR="00C16F43" w:rsidRDefault="00FD42D2">
            <w:pPr>
              <w:jc w:val="left"/>
            </w:pPr>
            <w:r>
              <w:t>Following the job shadowing experience in Zagreb, participants should:</w:t>
            </w:r>
          </w:p>
          <w:p w14:paraId="6EE7207F" w14:textId="77777777" w:rsidR="00C16F43" w:rsidRDefault="00C16F43">
            <w:pPr>
              <w:jc w:val="left"/>
            </w:pPr>
          </w:p>
          <w:p w14:paraId="33D693F6" w14:textId="77777777" w:rsidR="00C16F43" w:rsidRDefault="00FD42D2">
            <w:pPr>
              <w:jc w:val="left"/>
            </w:pPr>
            <w:r>
              <w:t>1. Gain a deep understanding of sustainability principles and concepts.</w:t>
            </w:r>
          </w:p>
          <w:p w14:paraId="49F70687" w14:textId="77777777" w:rsidR="00C16F43" w:rsidRDefault="00FD42D2">
            <w:pPr>
              <w:jc w:val="left"/>
            </w:pPr>
            <w:r>
              <w:t>2. Acquire knowledge of entrepreneurship fundamentals and strategies.</w:t>
            </w:r>
          </w:p>
          <w:p w14:paraId="24C251CB" w14:textId="77777777" w:rsidR="00C16F43" w:rsidRDefault="00FD42D2">
            <w:pPr>
              <w:jc w:val="left"/>
            </w:pPr>
            <w:r>
              <w:t>3. Demonstrate the skill to integrate sustainability and entrepreneurship into their teaching curriculum.</w:t>
            </w:r>
          </w:p>
          <w:p w14:paraId="4DC8B009" w14:textId="77777777" w:rsidR="00C16F43" w:rsidRDefault="00FD42D2">
            <w:pPr>
              <w:jc w:val="left"/>
            </w:pPr>
            <w:r>
              <w:t>4. Be able to design and implement sustainability and entrepreneurship projects in the classroom.</w:t>
            </w:r>
          </w:p>
          <w:p w14:paraId="27163A90" w14:textId="77777777" w:rsidR="00C16F43" w:rsidRDefault="00FD42D2">
            <w:pPr>
              <w:jc w:val="left"/>
            </w:pPr>
            <w:r>
              <w:t>5. Assess the impact of sustainability and entrepreneurship initiatives on student learning.</w:t>
            </w:r>
          </w:p>
          <w:p w14:paraId="1AD1725E" w14:textId="77777777" w:rsidR="00C16F43" w:rsidRDefault="00FD42D2">
            <w:pPr>
              <w:jc w:val="left"/>
            </w:pPr>
            <w:r>
              <w:t>6. Apply effective teaching methods to deliver sustainability and entrepreneurship education.</w:t>
            </w:r>
          </w:p>
        </w:tc>
      </w:tr>
    </w:tbl>
    <w:p w14:paraId="2D6BDA9D" w14:textId="77777777" w:rsidR="00C16F43" w:rsidRDefault="00C16F43"/>
    <w:p w14:paraId="1DAE8F21" w14:textId="77777777" w:rsidR="00C16F43" w:rsidRDefault="00C16F43"/>
    <w:tbl>
      <w:tblPr>
        <w:tblStyle w:val="a6"/>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71B49037" w14:textId="77777777">
        <w:tc>
          <w:tcPr>
            <w:tcW w:w="8789" w:type="dxa"/>
            <w:gridSpan w:val="2"/>
            <w:vAlign w:val="center"/>
          </w:tcPr>
          <w:p w14:paraId="4CB5B383" w14:textId="77777777" w:rsidR="00C16F43" w:rsidRDefault="00FD42D2">
            <w:pPr>
              <w:jc w:val="left"/>
              <w:rPr>
                <w:b/>
              </w:rPr>
            </w:pPr>
            <w:r>
              <w:rPr>
                <w:b/>
              </w:rPr>
              <w:t>Outcome 3: Cultivate Cross-Cultural Competence in Educational Contexts</w:t>
            </w:r>
          </w:p>
        </w:tc>
      </w:tr>
      <w:tr w:rsidR="00C16F43" w14:paraId="17B32D16" w14:textId="77777777">
        <w:tc>
          <w:tcPr>
            <w:tcW w:w="2268" w:type="dxa"/>
            <w:vAlign w:val="center"/>
          </w:tcPr>
          <w:p w14:paraId="370D6FD6" w14:textId="77777777" w:rsidR="00C16F43" w:rsidRDefault="00FD42D2">
            <w:pPr>
              <w:jc w:val="left"/>
            </w:pPr>
            <w:r>
              <w:t>Relevant subject, skill or competence:</w:t>
            </w:r>
          </w:p>
        </w:tc>
        <w:tc>
          <w:tcPr>
            <w:tcW w:w="6521" w:type="dxa"/>
            <w:vAlign w:val="center"/>
          </w:tcPr>
          <w:p w14:paraId="19884720" w14:textId="77777777" w:rsidR="00C16F43" w:rsidRDefault="00FD42D2">
            <w:pPr>
              <w:jc w:val="left"/>
            </w:pPr>
            <w:r>
              <w:t>Relevant Subject/Area of Study: Intercultural Education, Cross-Cultural Communication</w:t>
            </w:r>
          </w:p>
          <w:p w14:paraId="1C1D5D0F" w14:textId="77777777" w:rsidR="00C16F43" w:rsidRDefault="00C16F43">
            <w:pPr>
              <w:jc w:val="left"/>
            </w:pPr>
          </w:p>
          <w:p w14:paraId="2D87D866" w14:textId="77777777" w:rsidR="00C16F43" w:rsidRDefault="00FD42D2">
            <w:pPr>
              <w:jc w:val="left"/>
            </w:pPr>
            <w:r>
              <w:t>Relevant Skills and Competences:</w:t>
            </w:r>
          </w:p>
          <w:p w14:paraId="4F8593A0" w14:textId="77777777" w:rsidR="00C16F43" w:rsidRDefault="00C16F43">
            <w:pPr>
              <w:jc w:val="left"/>
            </w:pPr>
          </w:p>
          <w:p w14:paraId="527D4168" w14:textId="77777777" w:rsidR="00C16F43" w:rsidRDefault="00FD42D2">
            <w:pPr>
              <w:jc w:val="left"/>
            </w:pPr>
            <w:r>
              <w:t>1. Proficiency in understanding and respecting cultural diversity.</w:t>
            </w:r>
          </w:p>
          <w:p w14:paraId="2A431C48" w14:textId="77777777" w:rsidR="00C16F43" w:rsidRDefault="00FD42D2">
            <w:pPr>
              <w:jc w:val="left"/>
            </w:pPr>
            <w:r>
              <w:t>2. Ability to adapt teaching and communication styles for international students.</w:t>
            </w:r>
          </w:p>
          <w:p w14:paraId="6BA0C667" w14:textId="77777777" w:rsidR="00C16F43" w:rsidRDefault="00FD42D2">
            <w:pPr>
              <w:jc w:val="left"/>
            </w:pPr>
            <w:r>
              <w:t>3. Skill in building cross-cultural relationships with students, teachers, and parents.</w:t>
            </w:r>
          </w:p>
          <w:p w14:paraId="11E84BDE" w14:textId="77777777" w:rsidR="00C16F43" w:rsidRDefault="00FD42D2">
            <w:pPr>
              <w:jc w:val="left"/>
            </w:pPr>
            <w:r>
              <w:t>4. Awareness of the cultural nuances and sensitivities in an international educational environment.</w:t>
            </w:r>
          </w:p>
        </w:tc>
      </w:tr>
      <w:tr w:rsidR="00C16F43" w14:paraId="55C326A4" w14:textId="77777777">
        <w:tc>
          <w:tcPr>
            <w:tcW w:w="2268" w:type="dxa"/>
            <w:vAlign w:val="center"/>
          </w:tcPr>
          <w:p w14:paraId="4FD569A0" w14:textId="77777777" w:rsidR="00C16F43" w:rsidRDefault="00FD42D2">
            <w:pPr>
              <w:jc w:val="left"/>
            </w:pPr>
            <w:r>
              <w:t>Description:</w:t>
            </w:r>
          </w:p>
        </w:tc>
        <w:tc>
          <w:tcPr>
            <w:tcW w:w="6521" w:type="dxa"/>
            <w:vAlign w:val="center"/>
          </w:tcPr>
          <w:p w14:paraId="494207A6" w14:textId="77777777" w:rsidR="00C16F43" w:rsidRDefault="00FD42D2">
            <w:pPr>
              <w:jc w:val="left"/>
            </w:pPr>
            <w:r>
              <w:t>After the job shadowing experience in Zagreb, participants should:</w:t>
            </w:r>
          </w:p>
          <w:p w14:paraId="052C540F" w14:textId="77777777" w:rsidR="00C16F43" w:rsidRDefault="00C16F43">
            <w:pPr>
              <w:jc w:val="left"/>
            </w:pPr>
          </w:p>
          <w:p w14:paraId="10A17461" w14:textId="77777777" w:rsidR="00C16F43" w:rsidRDefault="00FD42D2">
            <w:pPr>
              <w:jc w:val="left"/>
            </w:pPr>
            <w:r>
              <w:t>1. Develop a deep understanding of cultural diversity and its significance in educational contexts.</w:t>
            </w:r>
          </w:p>
          <w:p w14:paraId="1CFA782B" w14:textId="77777777" w:rsidR="00C16F43" w:rsidRDefault="00FD42D2">
            <w:pPr>
              <w:jc w:val="left"/>
            </w:pPr>
            <w:r>
              <w:t>2. Adapt their teaching and communication styles to cater to the needs of international students.</w:t>
            </w:r>
          </w:p>
          <w:p w14:paraId="4FE0D5AC" w14:textId="77777777" w:rsidR="00C16F43" w:rsidRDefault="00FD42D2">
            <w:pPr>
              <w:jc w:val="left"/>
            </w:pPr>
            <w:r>
              <w:t>3. Build strong cross-cultural relationships with students, teachers, and parents involved in international programs.</w:t>
            </w:r>
          </w:p>
          <w:p w14:paraId="7F720F55" w14:textId="77777777" w:rsidR="00C16F43" w:rsidRDefault="00FD42D2">
            <w:pPr>
              <w:jc w:val="left"/>
            </w:pPr>
            <w:r>
              <w:t>4. Demonstrate cultural awareness and sensitivity, promoting a welcoming and inclusive educational environment for diverse student populations.</w:t>
            </w:r>
          </w:p>
        </w:tc>
      </w:tr>
    </w:tbl>
    <w:p w14:paraId="3AAE37AC" w14:textId="77777777" w:rsidR="00C16F43" w:rsidRDefault="00C16F43"/>
    <w:p w14:paraId="489A9002" w14:textId="77777777" w:rsidR="00C16F43" w:rsidRDefault="00C16F43"/>
    <w:tbl>
      <w:tblPr>
        <w:tblStyle w:val="a7"/>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7249528D" w14:textId="77777777">
        <w:tc>
          <w:tcPr>
            <w:tcW w:w="8789" w:type="dxa"/>
            <w:gridSpan w:val="2"/>
            <w:vAlign w:val="center"/>
          </w:tcPr>
          <w:p w14:paraId="6C93845A" w14:textId="77777777" w:rsidR="00C16F43" w:rsidRDefault="00FD42D2">
            <w:pPr>
              <w:jc w:val="left"/>
              <w:rPr>
                <w:b/>
              </w:rPr>
            </w:pPr>
            <w:r>
              <w:rPr>
                <w:b/>
              </w:rPr>
              <w:t>Outcome 4: Proficiency in Evaluating the Impact of Learning Mobility Programs</w:t>
            </w:r>
          </w:p>
        </w:tc>
      </w:tr>
      <w:tr w:rsidR="00C16F43" w14:paraId="01C6DACC" w14:textId="77777777">
        <w:tc>
          <w:tcPr>
            <w:tcW w:w="2268" w:type="dxa"/>
            <w:vAlign w:val="center"/>
          </w:tcPr>
          <w:p w14:paraId="01F0CD9C" w14:textId="77777777" w:rsidR="00C16F43" w:rsidRDefault="00FD42D2">
            <w:pPr>
              <w:jc w:val="left"/>
            </w:pPr>
            <w:r>
              <w:lastRenderedPageBreak/>
              <w:t>Relevant subject, skill or competence:</w:t>
            </w:r>
          </w:p>
        </w:tc>
        <w:tc>
          <w:tcPr>
            <w:tcW w:w="6521" w:type="dxa"/>
            <w:vAlign w:val="center"/>
          </w:tcPr>
          <w:p w14:paraId="0E0C79D2" w14:textId="77777777" w:rsidR="00C16F43" w:rsidRDefault="00FD42D2">
            <w:pPr>
              <w:jc w:val="left"/>
            </w:pPr>
            <w:r>
              <w:t>Relevant Subject/Area of Study: Education Assessment and Evaluation</w:t>
            </w:r>
          </w:p>
          <w:p w14:paraId="0FAA1DD9" w14:textId="77777777" w:rsidR="00C16F43" w:rsidRDefault="00C16F43">
            <w:pPr>
              <w:jc w:val="left"/>
            </w:pPr>
          </w:p>
          <w:p w14:paraId="0C47CCED" w14:textId="77777777" w:rsidR="00C16F43" w:rsidRDefault="00FD42D2">
            <w:pPr>
              <w:jc w:val="left"/>
            </w:pPr>
            <w:r>
              <w:t>Relevant Skills and Competences:</w:t>
            </w:r>
          </w:p>
          <w:p w14:paraId="398D5154" w14:textId="77777777" w:rsidR="00C16F43" w:rsidRDefault="00C16F43">
            <w:pPr>
              <w:jc w:val="left"/>
            </w:pPr>
          </w:p>
          <w:p w14:paraId="7D75C3F3" w14:textId="77777777" w:rsidR="00C16F43" w:rsidRDefault="00FD42D2">
            <w:pPr>
              <w:jc w:val="left"/>
            </w:pPr>
            <w:r>
              <w:t>1. Skill in assessing the effectiveness of learning mobility programs.</w:t>
            </w:r>
          </w:p>
          <w:p w14:paraId="29EB4993" w14:textId="77777777" w:rsidR="00C16F43" w:rsidRDefault="00FD42D2">
            <w:pPr>
              <w:jc w:val="left"/>
            </w:pPr>
            <w:r>
              <w:t>2. Competence in collecting and analysing feedback from students and teachers.</w:t>
            </w:r>
          </w:p>
          <w:p w14:paraId="42724F77" w14:textId="77777777" w:rsidR="00C16F43" w:rsidRDefault="00FD42D2">
            <w:pPr>
              <w:jc w:val="left"/>
            </w:pPr>
            <w:r>
              <w:t>3. Ability to measure the impact of international experiences on student learning outcomes.</w:t>
            </w:r>
          </w:p>
          <w:p w14:paraId="365F5183" w14:textId="77777777" w:rsidR="00C16F43" w:rsidRDefault="00FD42D2">
            <w:pPr>
              <w:jc w:val="left"/>
            </w:pPr>
            <w:r>
              <w:t>4. Expertise in making data-driven improvements to future programs.</w:t>
            </w:r>
          </w:p>
        </w:tc>
      </w:tr>
      <w:tr w:rsidR="00C16F43" w14:paraId="6F5B0891" w14:textId="77777777">
        <w:tc>
          <w:tcPr>
            <w:tcW w:w="2268" w:type="dxa"/>
            <w:vAlign w:val="center"/>
          </w:tcPr>
          <w:p w14:paraId="44C46D2C" w14:textId="77777777" w:rsidR="00C16F43" w:rsidRDefault="00FD42D2">
            <w:pPr>
              <w:jc w:val="left"/>
            </w:pPr>
            <w:r>
              <w:t>Description:</w:t>
            </w:r>
          </w:p>
        </w:tc>
        <w:tc>
          <w:tcPr>
            <w:tcW w:w="6521" w:type="dxa"/>
            <w:vAlign w:val="center"/>
          </w:tcPr>
          <w:p w14:paraId="3E9CF925" w14:textId="77777777" w:rsidR="00C16F43" w:rsidRDefault="00FD42D2">
            <w:pPr>
              <w:jc w:val="left"/>
            </w:pPr>
            <w:r>
              <w:t>Following the job shadowing trip to Zagreb, participants should:</w:t>
            </w:r>
          </w:p>
          <w:p w14:paraId="270EC7DA" w14:textId="77777777" w:rsidR="00C16F43" w:rsidRDefault="00C16F43">
            <w:pPr>
              <w:jc w:val="left"/>
            </w:pPr>
          </w:p>
          <w:p w14:paraId="7D15ADA4" w14:textId="77777777" w:rsidR="00C16F43" w:rsidRDefault="00FD42D2">
            <w:pPr>
              <w:jc w:val="left"/>
            </w:pPr>
            <w:r>
              <w:t>1. Develop the skill to assess and evaluate the effectiveness of learning mobility programs.</w:t>
            </w:r>
          </w:p>
          <w:p w14:paraId="43B3564D" w14:textId="77777777" w:rsidR="00C16F43" w:rsidRDefault="00FD42D2">
            <w:pPr>
              <w:jc w:val="left"/>
            </w:pPr>
            <w:r>
              <w:t>2. Collect and analyse feedback from students and teachers, enabling continuous improvement of programs.</w:t>
            </w:r>
          </w:p>
          <w:p w14:paraId="5202AD33" w14:textId="77777777" w:rsidR="00C16F43" w:rsidRDefault="00FD42D2">
            <w:pPr>
              <w:jc w:val="left"/>
            </w:pPr>
            <w:r>
              <w:t>3. Measure and document the impact of international experiences on student learning outcomes.</w:t>
            </w:r>
          </w:p>
          <w:p w14:paraId="4BBB6694" w14:textId="77777777" w:rsidR="00C16F43" w:rsidRDefault="00FD42D2">
            <w:pPr>
              <w:jc w:val="left"/>
            </w:pPr>
            <w:r>
              <w:t>4. Demonstrate the ability to make data-driven improvements to future international programs, enhancing their quality and impact.</w:t>
            </w:r>
          </w:p>
        </w:tc>
      </w:tr>
    </w:tbl>
    <w:p w14:paraId="1264837C" w14:textId="77777777" w:rsidR="00C16F43" w:rsidRDefault="00C16F43"/>
    <w:p w14:paraId="3514F999" w14:textId="77777777" w:rsidR="00C16F43" w:rsidRDefault="00C16F43"/>
    <w:tbl>
      <w:tblPr>
        <w:tblStyle w:val="a8"/>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36EFED09" w14:textId="77777777">
        <w:tc>
          <w:tcPr>
            <w:tcW w:w="8789" w:type="dxa"/>
            <w:gridSpan w:val="2"/>
            <w:vAlign w:val="center"/>
          </w:tcPr>
          <w:p w14:paraId="00B83C5A" w14:textId="77777777" w:rsidR="00C16F43" w:rsidRDefault="00FD42D2">
            <w:pPr>
              <w:jc w:val="left"/>
              <w:rPr>
                <w:b/>
              </w:rPr>
            </w:pPr>
            <w:r>
              <w:rPr>
                <w:b/>
              </w:rPr>
              <w:t>Outcome 5: Promote Student Engagement in Entrepreneurship and Sustainability Initiatives</w:t>
            </w:r>
          </w:p>
        </w:tc>
      </w:tr>
      <w:tr w:rsidR="00C16F43" w14:paraId="07317015" w14:textId="77777777">
        <w:tc>
          <w:tcPr>
            <w:tcW w:w="2268" w:type="dxa"/>
            <w:vAlign w:val="center"/>
          </w:tcPr>
          <w:p w14:paraId="2D654FC8" w14:textId="77777777" w:rsidR="00C16F43" w:rsidRDefault="00FD42D2">
            <w:pPr>
              <w:jc w:val="left"/>
            </w:pPr>
            <w:r>
              <w:t>Relevant subject, skill or competence:</w:t>
            </w:r>
          </w:p>
        </w:tc>
        <w:tc>
          <w:tcPr>
            <w:tcW w:w="6521" w:type="dxa"/>
            <w:vAlign w:val="center"/>
          </w:tcPr>
          <w:p w14:paraId="22B284F9" w14:textId="77777777" w:rsidR="00C16F43" w:rsidRDefault="00FD42D2">
            <w:pPr>
              <w:jc w:val="left"/>
            </w:pPr>
            <w:r>
              <w:t>Relevant Subject/Area of Study: Student Engagement, Educational Innovation</w:t>
            </w:r>
          </w:p>
          <w:p w14:paraId="35A40BB7" w14:textId="77777777" w:rsidR="00C16F43" w:rsidRDefault="00C16F43">
            <w:pPr>
              <w:jc w:val="left"/>
            </w:pPr>
          </w:p>
          <w:p w14:paraId="71623B5A" w14:textId="77777777" w:rsidR="00C16F43" w:rsidRDefault="00FD42D2">
            <w:pPr>
              <w:jc w:val="left"/>
            </w:pPr>
            <w:r>
              <w:t>Relevant Skills and Competences:</w:t>
            </w:r>
          </w:p>
          <w:p w14:paraId="608BDDA9" w14:textId="77777777" w:rsidR="00C16F43" w:rsidRDefault="00C16F43">
            <w:pPr>
              <w:jc w:val="left"/>
            </w:pPr>
          </w:p>
          <w:p w14:paraId="70C380DF" w14:textId="77777777" w:rsidR="00C16F43" w:rsidRDefault="00FD42D2">
            <w:pPr>
              <w:jc w:val="left"/>
            </w:pPr>
            <w:r>
              <w:t>1. Strategies to motivate and engage students in entrepreneurship and sustainability projects.</w:t>
            </w:r>
          </w:p>
          <w:p w14:paraId="1733DB1B" w14:textId="77777777" w:rsidR="00C16F43" w:rsidRDefault="00FD42D2">
            <w:pPr>
              <w:jc w:val="left"/>
            </w:pPr>
            <w:r>
              <w:t>2. Effective methods for involving students in the planning and execution of initiatives.</w:t>
            </w:r>
          </w:p>
          <w:p w14:paraId="3B696A75" w14:textId="77777777" w:rsidR="00C16F43" w:rsidRDefault="00FD42D2">
            <w:pPr>
              <w:jc w:val="left"/>
            </w:pPr>
            <w:r>
              <w:t>3. Skill in fostering students' entrepreneurial thinking and sustainable practices.</w:t>
            </w:r>
          </w:p>
          <w:p w14:paraId="5625E790" w14:textId="77777777" w:rsidR="00C16F43" w:rsidRDefault="00FD42D2">
            <w:pPr>
              <w:jc w:val="left"/>
            </w:pPr>
            <w:r>
              <w:t>4. Techniques to communicate the benefits of active participation to students.</w:t>
            </w:r>
          </w:p>
        </w:tc>
      </w:tr>
      <w:tr w:rsidR="00C16F43" w14:paraId="66825B2F" w14:textId="77777777">
        <w:tc>
          <w:tcPr>
            <w:tcW w:w="2268" w:type="dxa"/>
            <w:vAlign w:val="center"/>
          </w:tcPr>
          <w:p w14:paraId="0EA59745" w14:textId="77777777" w:rsidR="00C16F43" w:rsidRDefault="00FD42D2">
            <w:pPr>
              <w:jc w:val="left"/>
            </w:pPr>
            <w:r>
              <w:t>Description:</w:t>
            </w:r>
          </w:p>
        </w:tc>
        <w:tc>
          <w:tcPr>
            <w:tcW w:w="6521" w:type="dxa"/>
            <w:vAlign w:val="center"/>
          </w:tcPr>
          <w:p w14:paraId="01A8EA0B" w14:textId="77777777" w:rsidR="00C16F43" w:rsidRDefault="00FD42D2">
            <w:pPr>
              <w:jc w:val="left"/>
            </w:pPr>
            <w:r>
              <w:t>After the job shadowing experience in Zagreb, participants should:</w:t>
            </w:r>
          </w:p>
          <w:p w14:paraId="48274F69" w14:textId="77777777" w:rsidR="00C16F43" w:rsidRDefault="00C16F43">
            <w:pPr>
              <w:jc w:val="left"/>
            </w:pPr>
          </w:p>
          <w:p w14:paraId="271E3774" w14:textId="77777777" w:rsidR="00C16F43" w:rsidRDefault="00FD42D2">
            <w:pPr>
              <w:jc w:val="left"/>
            </w:pPr>
            <w:r>
              <w:t>1. Develop strategies to motivate and engage students in entrepreneurship and sustainability initiatives.</w:t>
            </w:r>
          </w:p>
          <w:p w14:paraId="4D4226F2" w14:textId="77777777" w:rsidR="00C16F43" w:rsidRDefault="00FD42D2">
            <w:pPr>
              <w:jc w:val="left"/>
            </w:pPr>
            <w:r>
              <w:t>2. Apply effective methods to involve students in the planning and execution of projects.</w:t>
            </w:r>
          </w:p>
          <w:p w14:paraId="7DDCE887" w14:textId="77777777" w:rsidR="00C16F43" w:rsidRDefault="00FD42D2">
            <w:pPr>
              <w:jc w:val="left"/>
            </w:pPr>
            <w:r>
              <w:t>3. Foster students' entrepreneurial thinking and promote sustainable practices among them.</w:t>
            </w:r>
          </w:p>
          <w:p w14:paraId="1ED18259" w14:textId="77777777" w:rsidR="00C16F43" w:rsidRDefault="00FD42D2">
            <w:pPr>
              <w:jc w:val="left"/>
            </w:pPr>
            <w:r>
              <w:t>4. Communicate the benefits of active participation in entrepreneurship and sustainability to students, encouraging their engagement and commitment.</w:t>
            </w:r>
          </w:p>
        </w:tc>
      </w:tr>
    </w:tbl>
    <w:p w14:paraId="31F10586" w14:textId="77777777" w:rsidR="00C16F43" w:rsidRDefault="00C16F43"/>
    <w:tbl>
      <w:tblPr>
        <w:tblStyle w:val="a9"/>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385105E8" w14:textId="77777777">
        <w:tc>
          <w:tcPr>
            <w:tcW w:w="8789" w:type="dxa"/>
            <w:gridSpan w:val="2"/>
            <w:vAlign w:val="center"/>
          </w:tcPr>
          <w:p w14:paraId="066DAB4B" w14:textId="77777777" w:rsidR="00C16F43" w:rsidRDefault="00FD42D2">
            <w:pPr>
              <w:jc w:val="left"/>
              <w:rPr>
                <w:b/>
              </w:rPr>
            </w:pPr>
            <w:r>
              <w:rPr>
                <w:b/>
              </w:rPr>
              <w:lastRenderedPageBreak/>
              <w:t>Outcome 6: Strengthen Collaborative Partnerships for Future Projects</w:t>
            </w:r>
          </w:p>
        </w:tc>
      </w:tr>
      <w:tr w:rsidR="00C16F43" w14:paraId="7401A447" w14:textId="77777777">
        <w:tc>
          <w:tcPr>
            <w:tcW w:w="2268" w:type="dxa"/>
            <w:vAlign w:val="center"/>
          </w:tcPr>
          <w:p w14:paraId="175C6ED3" w14:textId="77777777" w:rsidR="00C16F43" w:rsidRDefault="00FD42D2">
            <w:pPr>
              <w:jc w:val="left"/>
            </w:pPr>
            <w:r>
              <w:t>Relevant subject, skill or competence:</w:t>
            </w:r>
          </w:p>
        </w:tc>
        <w:tc>
          <w:tcPr>
            <w:tcW w:w="6521" w:type="dxa"/>
            <w:vAlign w:val="center"/>
          </w:tcPr>
          <w:p w14:paraId="50144A73" w14:textId="77777777" w:rsidR="00C16F43" w:rsidRDefault="00FD42D2">
            <w:pPr>
              <w:jc w:val="left"/>
            </w:pPr>
            <w:r>
              <w:t>Relevant Subject/Area of Study: Educational Partnerships, Project Collaboration</w:t>
            </w:r>
          </w:p>
          <w:p w14:paraId="357907A7" w14:textId="77777777" w:rsidR="00C16F43" w:rsidRDefault="00C16F43">
            <w:pPr>
              <w:jc w:val="left"/>
            </w:pPr>
          </w:p>
          <w:p w14:paraId="7F275E64" w14:textId="77777777" w:rsidR="00C16F43" w:rsidRDefault="00FD42D2">
            <w:pPr>
              <w:jc w:val="left"/>
            </w:pPr>
            <w:r>
              <w:t>Relevant Skills and Competences:</w:t>
            </w:r>
          </w:p>
          <w:p w14:paraId="245D2288" w14:textId="77777777" w:rsidR="00C16F43" w:rsidRDefault="00C16F43">
            <w:pPr>
              <w:jc w:val="left"/>
            </w:pPr>
          </w:p>
          <w:p w14:paraId="24028D28" w14:textId="77777777" w:rsidR="00C16F43" w:rsidRDefault="00FD42D2">
            <w:pPr>
              <w:jc w:val="left"/>
            </w:pPr>
            <w:r>
              <w:t>1. Ability to establish and nurture international educational partnerships.</w:t>
            </w:r>
          </w:p>
          <w:p w14:paraId="10EDF187" w14:textId="77777777" w:rsidR="00C16F43" w:rsidRDefault="00FD42D2">
            <w:pPr>
              <w:jc w:val="left"/>
            </w:pPr>
            <w:r>
              <w:t>2. Effective methods for collaborative project planning and implementation.</w:t>
            </w:r>
          </w:p>
          <w:p w14:paraId="13579226" w14:textId="77777777" w:rsidR="00C16F43" w:rsidRDefault="00FD42D2">
            <w:pPr>
              <w:jc w:val="left"/>
            </w:pPr>
            <w:r>
              <w:t>3. Skill in leveraging partnerships for resource sharing and project sustainability.</w:t>
            </w:r>
          </w:p>
          <w:p w14:paraId="218E87EF" w14:textId="77777777" w:rsidR="00C16F43" w:rsidRDefault="00FD42D2">
            <w:pPr>
              <w:jc w:val="left"/>
            </w:pPr>
            <w:r>
              <w:t>4. Strategies for involving parents and the local community in educational initiatives.</w:t>
            </w:r>
          </w:p>
        </w:tc>
      </w:tr>
      <w:tr w:rsidR="00C16F43" w14:paraId="34FEBFE9" w14:textId="77777777">
        <w:tc>
          <w:tcPr>
            <w:tcW w:w="2268" w:type="dxa"/>
            <w:vAlign w:val="center"/>
          </w:tcPr>
          <w:p w14:paraId="7E082A6E" w14:textId="77777777" w:rsidR="00C16F43" w:rsidRDefault="00FD42D2">
            <w:pPr>
              <w:jc w:val="left"/>
            </w:pPr>
            <w:r>
              <w:t>Description:</w:t>
            </w:r>
          </w:p>
        </w:tc>
        <w:tc>
          <w:tcPr>
            <w:tcW w:w="6521" w:type="dxa"/>
            <w:vAlign w:val="center"/>
          </w:tcPr>
          <w:p w14:paraId="1A50BAB8" w14:textId="77777777" w:rsidR="00C16F43" w:rsidRDefault="00FD42D2">
            <w:pPr>
              <w:jc w:val="left"/>
            </w:pPr>
            <w:r>
              <w:t>Following the job shadowing experience in Zagreb, participants should:</w:t>
            </w:r>
          </w:p>
          <w:p w14:paraId="2617E8F5" w14:textId="77777777" w:rsidR="00C16F43" w:rsidRDefault="00C16F43">
            <w:pPr>
              <w:jc w:val="left"/>
            </w:pPr>
          </w:p>
          <w:p w14:paraId="7E50B6BF" w14:textId="77777777" w:rsidR="00C16F43" w:rsidRDefault="00FD42D2">
            <w:pPr>
              <w:jc w:val="left"/>
            </w:pPr>
            <w:r>
              <w:t>1. Strengthen their ability to establish and nurture international educational partnerships for future projects.</w:t>
            </w:r>
          </w:p>
          <w:p w14:paraId="797FC2FB" w14:textId="77777777" w:rsidR="00C16F43" w:rsidRDefault="00FD42D2">
            <w:pPr>
              <w:jc w:val="left"/>
            </w:pPr>
            <w:r>
              <w:t>2. Apply effective methods for collaborative project planning and implementation with partner schools.</w:t>
            </w:r>
          </w:p>
          <w:p w14:paraId="3568124B" w14:textId="77777777" w:rsidR="00C16F43" w:rsidRDefault="00FD42D2">
            <w:pPr>
              <w:jc w:val="left"/>
            </w:pPr>
            <w:r>
              <w:t>3. Leverage partnerships for resource sharing and the long-term sustainability of educational initiatives.</w:t>
            </w:r>
          </w:p>
          <w:p w14:paraId="74928B81" w14:textId="77777777" w:rsidR="00C16F43" w:rsidRDefault="00FD42D2">
            <w:pPr>
              <w:jc w:val="left"/>
            </w:pPr>
            <w:r>
              <w:t>4. Develop strategies for involving parents and the local community in supporting and participating in upcoming educational projects, fostering a sense of community engagement.</w:t>
            </w:r>
          </w:p>
        </w:tc>
      </w:tr>
    </w:tbl>
    <w:p w14:paraId="2C1524A3" w14:textId="77777777" w:rsidR="00C16F43" w:rsidRDefault="00C16F43"/>
    <w:p w14:paraId="422B56A2" w14:textId="77777777" w:rsidR="00C16F43" w:rsidRDefault="00C16F43"/>
    <w:p w14:paraId="13A76164" w14:textId="77777777" w:rsidR="00C16F43" w:rsidRDefault="00FD42D2">
      <w:pPr>
        <w:pStyle w:val="Naslov1"/>
        <w:numPr>
          <w:ilvl w:val="0"/>
          <w:numId w:val="3"/>
        </w:numPr>
      </w:pPr>
      <w:r>
        <w:t>Learning programme and tasks</w:t>
      </w:r>
    </w:p>
    <w:p w14:paraId="174FF952" w14:textId="77777777" w:rsidR="00C16F43" w:rsidRDefault="00FD42D2">
      <w:pPr>
        <w:pBdr>
          <w:top w:val="nil"/>
          <w:left w:val="nil"/>
          <w:bottom w:val="nil"/>
          <w:right w:val="nil"/>
          <w:between w:val="nil"/>
        </w:pBdr>
        <w:spacing w:before="240" w:after="240"/>
      </w:pPr>
      <w:r>
        <w:t>To achieve the agreed learning outcomes, the participant will complete the following activities and tasks during their mobility activity.</w:t>
      </w:r>
    </w:p>
    <w:p w14:paraId="721C76E8" w14:textId="77777777" w:rsidR="00C16F43" w:rsidRDefault="00C16F43">
      <w:pPr>
        <w:spacing w:before="240" w:after="240"/>
      </w:pPr>
    </w:p>
    <w:tbl>
      <w:tblPr>
        <w:tblStyle w:val="aa"/>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38501D7D" w14:textId="77777777">
        <w:tc>
          <w:tcPr>
            <w:tcW w:w="8789" w:type="dxa"/>
            <w:gridSpan w:val="2"/>
            <w:vAlign w:val="center"/>
          </w:tcPr>
          <w:p w14:paraId="490AA45B" w14:textId="77777777" w:rsidR="00C16F43" w:rsidRDefault="00FD42D2">
            <w:pPr>
              <w:jc w:val="left"/>
              <w:rPr>
                <w:b/>
              </w:rPr>
            </w:pPr>
            <w:r>
              <w:rPr>
                <w:b/>
              </w:rPr>
              <w:t>Activity / task 1: Visiting classes Nature science</w:t>
            </w:r>
          </w:p>
        </w:tc>
      </w:tr>
      <w:tr w:rsidR="00C16F43" w14:paraId="00F039B2" w14:textId="77777777">
        <w:tc>
          <w:tcPr>
            <w:tcW w:w="2268" w:type="dxa"/>
            <w:vAlign w:val="center"/>
          </w:tcPr>
          <w:p w14:paraId="7488037F" w14:textId="77777777" w:rsidR="00C16F43" w:rsidRDefault="00FD42D2">
            <w:pPr>
              <w:jc w:val="left"/>
            </w:pPr>
            <w:r>
              <w:t>Description:</w:t>
            </w:r>
          </w:p>
        </w:tc>
        <w:tc>
          <w:tcPr>
            <w:tcW w:w="6521" w:type="dxa"/>
            <w:vAlign w:val="center"/>
          </w:tcPr>
          <w:p w14:paraId="20FB1D18" w14:textId="77777777" w:rsidR="00C16F43" w:rsidRDefault="00FD42D2">
            <w:pPr>
              <w:numPr>
                <w:ilvl w:val="0"/>
                <w:numId w:val="11"/>
              </w:numPr>
              <w:spacing w:before="240" w:line="276" w:lineRule="auto"/>
              <w:jc w:val="left"/>
              <w:rPr>
                <w:sz w:val="22"/>
                <w:szCs w:val="22"/>
              </w:rPr>
            </w:pPr>
            <w:r>
              <w:rPr>
                <w:b/>
              </w:rPr>
              <w:t>Lesson: Energy and the environment - practice and repetition</w:t>
            </w:r>
          </w:p>
          <w:p w14:paraId="5C97E23B" w14:textId="77777777" w:rsidR="00C16F43" w:rsidRDefault="00FD42D2">
            <w:pPr>
              <w:numPr>
                <w:ilvl w:val="0"/>
                <w:numId w:val="11"/>
              </w:numPr>
              <w:spacing w:before="240" w:line="276" w:lineRule="auto"/>
              <w:jc w:val="left"/>
              <w:rPr>
                <w:sz w:val="22"/>
                <w:szCs w:val="22"/>
              </w:rPr>
            </w:pPr>
            <w:r>
              <w:t>In the 3rd grade, teachers will be present at the practice and repetition of the Energy and the environment lesson.</w:t>
            </w:r>
          </w:p>
          <w:p w14:paraId="49CEDA55" w14:textId="77777777" w:rsidR="00C16F43" w:rsidRDefault="00FD42D2">
            <w:pPr>
              <w:numPr>
                <w:ilvl w:val="0"/>
                <w:numId w:val="11"/>
              </w:numPr>
              <w:spacing w:before="240" w:line="276" w:lineRule="auto"/>
              <w:jc w:val="left"/>
              <w:rPr>
                <w:sz w:val="22"/>
                <w:szCs w:val="22"/>
              </w:rPr>
            </w:pPr>
            <w:r>
              <w:t>The lesson will repeat:</w:t>
            </w:r>
          </w:p>
          <w:p w14:paraId="1F9AD41C" w14:textId="77777777" w:rsidR="00C16F43" w:rsidRDefault="00FD42D2">
            <w:pPr>
              <w:numPr>
                <w:ilvl w:val="0"/>
                <w:numId w:val="11"/>
              </w:numPr>
              <w:spacing w:before="240" w:line="276" w:lineRule="auto"/>
              <w:jc w:val="left"/>
              <w:rPr>
                <w:sz w:val="22"/>
                <w:szCs w:val="22"/>
              </w:rPr>
            </w:pPr>
            <w:r>
              <w:t xml:space="preserve"> different examples of energy use, transfer and conversion based on students' own experiences;</w:t>
            </w:r>
          </w:p>
          <w:p w14:paraId="11C7F8DC" w14:textId="77777777" w:rsidR="00C16F43" w:rsidRDefault="00FD42D2">
            <w:pPr>
              <w:numPr>
                <w:ilvl w:val="0"/>
                <w:numId w:val="11"/>
              </w:numPr>
              <w:spacing w:before="240" w:line="276" w:lineRule="auto"/>
              <w:jc w:val="left"/>
              <w:rPr>
                <w:sz w:val="22"/>
                <w:szCs w:val="22"/>
              </w:rPr>
            </w:pPr>
            <w:r>
              <w:t>ways of using energy in our environment;</w:t>
            </w:r>
          </w:p>
          <w:p w14:paraId="3FA2DCB9" w14:textId="77777777" w:rsidR="00C16F43" w:rsidRDefault="00FD42D2">
            <w:pPr>
              <w:numPr>
                <w:ilvl w:val="0"/>
                <w:numId w:val="11"/>
              </w:numPr>
              <w:spacing w:before="240" w:line="276" w:lineRule="auto"/>
              <w:jc w:val="left"/>
              <w:rPr>
                <w:sz w:val="22"/>
                <w:szCs w:val="22"/>
              </w:rPr>
            </w:pPr>
            <w:r>
              <w:lastRenderedPageBreak/>
              <w:t>transmission of electricity and heat;</w:t>
            </w:r>
          </w:p>
          <w:p w14:paraId="65FA8603" w14:textId="77777777" w:rsidR="00C16F43" w:rsidRDefault="00FD42D2">
            <w:pPr>
              <w:numPr>
                <w:ilvl w:val="0"/>
                <w:numId w:val="11"/>
              </w:numPr>
              <w:spacing w:before="240" w:line="276" w:lineRule="auto"/>
              <w:jc w:val="left"/>
              <w:rPr>
                <w:sz w:val="22"/>
                <w:szCs w:val="22"/>
              </w:rPr>
            </w:pPr>
            <w:r>
              <w:t>ways in which heat losses can be significantly reduced, and how to convert energy from one form to another using examples;</w:t>
            </w:r>
          </w:p>
          <w:p w14:paraId="56F41501" w14:textId="77777777" w:rsidR="00C16F43" w:rsidRDefault="00FD42D2">
            <w:pPr>
              <w:numPr>
                <w:ilvl w:val="0"/>
                <w:numId w:val="11"/>
              </w:numPr>
              <w:spacing w:before="240" w:line="276" w:lineRule="auto"/>
              <w:jc w:val="left"/>
              <w:rPr>
                <w:sz w:val="22"/>
                <w:szCs w:val="22"/>
              </w:rPr>
            </w:pPr>
            <w:r>
              <w:t>how certain sources and forms of energy affect the environment and ways of using energy in our homeland;</w:t>
            </w:r>
          </w:p>
          <w:p w14:paraId="6CD6A120" w14:textId="77777777" w:rsidR="00C16F43" w:rsidRDefault="00FD42D2">
            <w:pPr>
              <w:numPr>
                <w:ilvl w:val="0"/>
                <w:numId w:val="11"/>
              </w:numPr>
              <w:spacing w:before="240" w:line="276" w:lineRule="auto"/>
              <w:jc w:val="left"/>
              <w:rPr>
                <w:sz w:val="22"/>
                <w:szCs w:val="22"/>
              </w:rPr>
            </w:pPr>
            <w:r>
              <w:t>how to connect the natural features of our homeland with the possibilities of using renewable energy sources;</w:t>
            </w:r>
          </w:p>
        </w:tc>
      </w:tr>
    </w:tbl>
    <w:p w14:paraId="1AE218E4" w14:textId="77777777" w:rsidR="00C16F43" w:rsidRDefault="00C16F43"/>
    <w:tbl>
      <w:tblPr>
        <w:tblStyle w:val="ab"/>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5E8F742C" w14:textId="77777777">
        <w:tc>
          <w:tcPr>
            <w:tcW w:w="8789" w:type="dxa"/>
            <w:gridSpan w:val="2"/>
            <w:vAlign w:val="center"/>
          </w:tcPr>
          <w:p w14:paraId="6EE19148" w14:textId="77777777" w:rsidR="00C16F43" w:rsidRDefault="00FD42D2">
            <w:pPr>
              <w:jc w:val="left"/>
              <w:rPr>
                <w:b/>
              </w:rPr>
            </w:pPr>
            <w:r>
              <w:rPr>
                <w:b/>
              </w:rPr>
              <w:t>Activity / task 2: Visiting classes Physics</w:t>
            </w:r>
          </w:p>
        </w:tc>
      </w:tr>
      <w:tr w:rsidR="00C16F43" w14:paraId="38776837" w14:textId="77777777">
        <w:tc>
          <w:tcPr>
            <w:tcW w:w="2268" w:type="dxa"/>
            <w:vAlign w:val="center"/>
          </w:tcPr>
          <w:p w14:paraId="4068AB8E" w14:textId="77777777" w:rsidR="00C16F43" w:rsidRDefault="00FD42D2">
            <w:pPr>
              <w:jc w:val="left"/>
            </w:pPr>
            <w:r>
              <w:t>Description:</w:t>
            </w:r>
          </w:p>
        </w:tc>
        <w:tc>
          <w:tcPr>
            <w:tcW w:w="6521" w:type="dxa"/>
            <w:vAlign w:val="center"/>
          </w:tcPr>
          <w:p w14:paraId="0A8A2BD3" w14:textId="77777777" w:rsidR="00C16F43" w:rsidRDefault="00FD42D2">
            <w:pPr>
              <w:numPr>
                <w:ilvl w:val="0"/>
                <w:numId w:val="6"/>
              </w:numPr>
              <w:jc w:val="left"/>
            </w:pPr>
            <w:r>
              <w:t>Introduction to a Physics topic by using the experimental method by using mobile phones.</w:t>
            </w:r>
          </w:p>
          <w:p w14:paraId="71BFEAD5" w14:textId="77777777" w:rsidR="00C16F43" w:rsidRDefault="00FD42D2">
            <w:pPr>
              <w:numPr>
                <w:ilvl w:val="0"/>
                <w:numId w:val="6"/>
              </w:numPr>
              <w:jc w:val="left"/>
            </w:pPr>
            <w:r>
              <w:t>Develop strategies to manage and support the groups in the lab lesson.</w:t>
            </w:r>
          </w:p>
          <w:p w14:paraId="6AA0DB85" w14:textId="77777777" w:rsidR="00C16F43" w:rsidRDefault="00FD42D2">
            <w:pPr>
              <w:numPr>
                <w:ilvl w:val="0"/>
                <w:numId w:val="6"/>
              </w:numPr>
              <w:jc w:val="left"/>
            </w:pPr>
            <w:r>
              <w:t>Present the topic to the students in a funny and challenging way.</w:t>
            </w:r>
          </w:p>
          <w:p w14:paraId="38127DF8" w14:textId="77777777" w:rsidR="00C16F43" w:rsidRDefault="00FD42D2">
            <w:pPr>
              <w:numPr>
                <w:ilvl w:val="0"/>
                <w:numId w:val="6"/>
              </w:numPr>
              <w:jc w:val="left"/>
            </w:pPr>
            <w:r>
              <w:t>The teacher and the job-shadowing teacher can circulate around the room to help the students with their experiments. The teachers also observe the students' understanding of forces and motion.</w:t>
            </w:r>
          </w:p>
        </w:tc>
      </w:tr>
    </w:tbl>
    <w:p w14:paraId="57E5C6A4" w14:textId="77777777" w:rsidR="00C16F43" w:rsidRDefault="00C16F43"/>
    <w:tbl>
      <w:tblPr>
        <w:tblStyle w:val="ac"/>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6AD2577E" w14:textId="77777777">
        <w:tc>
          <w:tcPr>
            <w:tcW w:w="8789" w:type="dxa"/>
            <w:gridSpan w:val="2"/>
            <w:vAlign w:val="center"/>
          </w:tcPr>
          <w:p w14:paraId="2502786B" w14:textId="77777777" w:rsidR="00C16F43" w:rsidRDefault="00FD42D2">
            <w:pPr>
              <w:jc w:val="left"/>
              <w:rPr>
                <w:b/>
              </w:rPr>
            </w:pPr>
            <w:r>
              <w:rPr>
                <w:b/>
              </w:rPr>
              <w:t>Activity / task 3: Visiting classes ICT</w:t>
            </w:r>
          </w:p>
        </w:tc>
      </w:tr>
      <w:tr w:rsidR="00C16F43" w14:paraId="6E8CFB4B" w14:textId="77777777">
        <w:tc>
          <w:tcPr>
            <w:tcW w:w="2268" w:type="dxa"/>
            <w:vAlign w:val="center"/>
          </w:tcPr>
          <w:p w14:paraId="22736693" w14:textId="77777777" w:rsidR="00C16F43" w:rsidRDefault="00FD42D2">
            <w:pPr>
              <w:jc w:val="left"/>
            </w:pPr>
            <w:r>
              <w:t>Description:</w:t>
            </w:r>
          </w:p>
        </w:tc>
        <w:tc>
          <w:tcPr>
            <w:tcW w:w="6521" w:type="dxa"/>
            <w:vAlign w:val="center"/>
          </w:tcPr>
          <w:p w14:paraId="4032DB29" w14:textId="77777777" w:rsidR="00C16F43" w:rsidRDefault="00FD42D2">
            <w:pPr>
              <w:jc w:val="left"/>
            </w:pPr>
            <w:r>
              <w:t>- see how computer science classes work according to the new curriculum</w:t>
            </w:r>
          </w:p>
          <w:p w14:paraId="7A0E91DA" w14:textId="77777777" w:rsidR="00C16F43" w:rsidRDefault="00FD42D2">
            <w:pPr>
              <w:jc w:val="left"/>
            </w:pPr>
            <w:r>
              <w:t>- participate in activities prepared for students</w:t>
            </w:r>
          </w:p>
          <w:p w14:paraId="1BFE4FDC" w14:textId="77777777" w:rsidR="00C16F43" w:rsidRDefault="00FD42D2">
            <w:pPr>
              <w:jc w:val="left"/>
            </w:pPr>
            <w:r>
              <w:t>- see how students use a computer and applications in the cloud (Office 365) which is free for all students in the Croatia</w:t>
            </w:r>
          </w:p>
          <w:p w14:paraId="064A618C" w14:textId="77777777" w:rsidR="00C16F43" w:rsidRDefault="00FD42D2">
            <w:pPr>
              <w:jc w:val="left"/>
            </w:pPr>
            <w:r>
              <w:t>- see how students use different web tools to solve Christmas tasks prepared in the Advent calendar (online application with created tasks)</w:t>
            </w:r>
          </w:p>
        </w:tc>
      </w:tr>
    </w:tbl>
    <w:p w14:paraId="3191585E" w14:textId="77777777" w:rsidR="00C16F43" w:rsidRDefault="00C16F43"/>
    <w:tbl>
      <w:tblPr>
        <w:tblStyle w:val="ad"/>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552C9F57" w14:textId="77777777">
        <w:tc>
          <w:tcPr>
            <w:tcW w:w="8789" w:type="dxa"/>
            <w:gridSpan w:val="2"/>
            <w:vAlign w:val="center"/>
          </w:tcPr>
          <w:p w14:paraId="2FF7EC2F" w14:textId="77777777" w:rsidR="00C16F43" w:rsidRDefault="00FD42D2">
            <w:pPr>
              <w:jc w:val="left"/>
              <w:rPr>
                <w:b/>
              </w:rPr>
            </w:pPr>
            <w:r>
              <w:rPr>
                <w:b/>
              </w:rPr>
              <w:t>Activity / task 4: Visiting classes Extracurricular</w:t>
            </w:r>
          </w:p>
        </w:tc>
      </w:tr>
      <w:tr w:rsidR="00C16F43" w14:paraId="169FAF47" w14:textId="77777777">
        <w:tc>
          <w:tcPr>
            <w:tcW w:w="2268" w:type="dxa"/>
            <w:vAlign w:val="center"/>
          </w:tcPr>
          <w:p w14:paraId="2BE9A566" w14:textId="77777777" w:rsidR="00C16F43" w:rsidRDefault="00FD42D2">
            <w:pPr>
              <w:jc w:val="left"/>
            </w:pPr>
            <w:r>
              <w:t>Description:</w:t>
            </w:r>
          </w:p>
        </w:tc>
        <w:tc>
          <w:tcPr>
            <w:tcW w:w="6521" w:type="dxa"/>
            <w:vAlign w:val="center"/>
          </w:tcPr>
          <w:p w14:paraId="3D7AF6E6" w14:textId="77777777" w:rsidR="00C16F43" w:rsidRDefault="00FD42D2">
            <w:pPr>
              <w:numPr>
                <w:ilvl w:val="0"/>
                <w:numId w:val="8"/>
              </w:numPr>
              <w:spacing w:before="240" w:line="276" w:lineRule="auto"/>
              <w:jc w:val="left"/>
              <w:rPr>
                <w:sz w:val="22"/>
                <w:szCs w:val="22"/>
              </w:rPr>
            </w:pPr>
            <w:r>
              <w:rPr>
                <w:b/>
              </w:rPr>
              <w:t>Extracurricular activity: European passport (3</w:t>
            </w:r>
            <w:r>
              <w:rPr>
                <w:b/>
                <w:vertAlign w:val="superscript"/>
              </w:rPr>
              <w:t>rd</w:t>
            </w:r>
            <w:r>
              <w:rPr>
                <w:b/>
              </w:rPr>
              <w:t xml:space="preserve"> grade)</w:t>
            </w:r>
          </w:p>
          <w:p w14:paraId="315E9BEA" w14:textId="77777777" w:rsidR="00C16F43" w:rsidRDefault="00FD42D2">
            <w:pPr>
              <w:numPr>
                <w:ilvl w:val="0"/>
                <w:numId w:val="8"/>
              </w:numPr>
              <w:spacing w:before="240" w:line="276" w:lineRule="auto"/>
              <w:jc w:val="left"/>
              <w:rPr>
                <w:sz w:val="22"/>
                <w:szCs w:val="22"/>
              </w:rPr>
            </w:pPr>
            <w:r>
              <w:t>Teachers will learn how students through the European passport extracurricular activity:</w:t>
            </w:r>
          </w:p>
          <w:p w14:paraId="159028FE" w14:textId="77777777" w:rsidR="00C16F43" w:rsidRDefault="00FD42D2">
            <w:pPr>
              <w:numPr>
                <w:ilvl w:val="0"/>
                <w:numId w:val="8"/>
              </w:numPr>
              <w:spacing w:before="240" w:line="276" w:lineRule="auto"/>
              <w:jc w:val="left"/>
              <w:rPr>
                <w:sz w:val="22"/>
                <w:szCs w:val="22"/>
              </w:rPr>
            </w:pPr>
            <w:r>
              <w:t>get to know other cultures and peoples</w:t>
            </w:r>
          </w:p>
          <w:p w14:paraId="5681489A" w14:textId="77777777" w:rsidR="00C16F43" w:rsidRDefault="00FD42D2">
            <w:pPr>
              <w:numPr>
                <w:ilvl w:val="0"/>
                <w:numId w:val="8"/>
              </w:numPr>
              <w:spacing w:before="240" w:line="276" w:lineRule="auto"/>
              <w:jc w:val="left"/>
              <w:rPr>
                <w:sz w:val="22"/>
                <w:szCs w:val="22"/>
              </w:rPr>
            </w:pPr>
            <w:r>
              <w:t>get to know the countries of Europe through various workshops, quizzes, interactive content and artistic expressions</w:t>
            </w:r>
          </w:p>
          <w:p w14:paraId="38CB1BDB" w14:textId="77777777" w:rsidR="00C16F43" w:rsidRDefault="00FD42D2">
            <w:pPr>
              <w:numPr>
                <w:ilvl w:val="0"/>
                <w:numId w:val="8"/>
              </w:numPr>
              <w:spacing w:before="240" w:line="276" w:lineRule="auto"/>
              <w:jc w:val="left"/>
              <w:rPr>
                <w:sz w:val="22"/>
                <w:szCs w:val="22"/>
              </w:rPr>
            </w:pPr>
            <w:r>
              <w:lastRenderedPageBreak/>
              <w:t>encourage the development of identity</w:t>
            </w:r>
          </w:p>
          <w:p w14:paraId="62F86737" w14:textId="77777777" w:rsidR="00C16F43" w:rsidRDefault="00FD42D2">
            <w:pPr>
              <w:numPr>
                <w:ilvl w:val="0"/>
                <w:numId w:val="8"/>
              </w:numPr>
              <w:spacing w:before="240" w:line="276" w:lineRule="auto"/>
              <w:jc w:val="left"/>
              <w:rPr>
                <w:sz w:val="22"/>
                <w:szCs w:val="22"/>
              </w:rPr>
            </w:pPr>
            <w:r>
              <w:t>develop cooperative behaviour</w:t>
            </w:r>
          </w:p>
          <w:p w14:paraId="6E9C8DD5" w14:textId="77777777" w:rsidR="00C16F43" w:rsidRDefault="00FD42D2">
            <w:pPr>
              <w:numPr>
                <w:ilvl w:val="0"/>
                <w:numId w:val="8"/>
              </w:numPr>
              <w:spacing w:before="240" w:line="276" w:lineRule="auto"/>
              <w:jc w:val="left"/>
              <w:rPr>
                <w:sz w:val="22"/>
                <w:szCs w:val="22"/>
              </w:rPr>
            </w:pPr>
            <w:r>
              <w:t>develop positive attitudes and relationships towards themselves and the environment</w:t>
            </w:r>
          </w:p>
          <w:p w14:paraId="06FA10F4" w14:textId="77777777" w:rsidR="00C16F43" w:rsidRDefault="00FD42D2">
            <w:pPr>
              <w:numPr>
                <w:ilvl w:val="0"/>
                <w:numId w:val="8"/>
              </w:numPr>
              <w:spacing w:before="240" w:line="276" w:lineRule="auto"/>
              <w:jc w:val="left"/>
              <w:rPr>
                <w:sz w:val="22"/>
                <w:szCs w:val="22"/>
              </w:rPr>
            </w:pPr>
            <w:r>
              <w:t>develop creativity in different forms of expression and creation</w:t>
            </w:r>
          </w:p>
          <w:p w14:paraId="42691BC2" w14:textId="77777777" w:rsidR="00C16F43" w:rsidRDefault="00FD42D2">
            <w:pPr>
              <w:numPr>
                <w:ilvl w:val="0"/>
                <w:numId w:val="8"/>
              </w:numPr>
              <w:spacing w:before="240" w:line="276" w:lineRule="auto"/>
              <w:jc w:val="left"/>
              <w:rPr>
                <w:sz w:val="22"/>
                <w:szCs w:val="22"/>
              </w:rPr>
            </w:pPr>
            <w:r>
              <w:t>develop social and communication skills</w:t>
            </w:r>
          </w:p>
          <w:p w14:paraId="555AC761" w14:textId="77777777" w:rsidR="00C16F43" w:rsidRDefault="00FD42D2">
            <w:pPr>
              <w:numPr>
                <w:ilvl w:val="0"/>
                <w:numId w:val="8"/>
              </w:numPr>
              <w:spacing w:before="240" w:line="276" w:lineRule="auto"/>
              <w:jc w:val="left"/>
              <w:rPr>
                <w:sz w:val="22"/>
                <w:szCs w:val="22"/>
              </w:rPr>
            </w:pPr>
            <w:r>
              <w:t>develop prosocial behaviour</w:t>
            </w:r>
          </w:p>
        </w:tc>
      </w:tr>
    </w:tbl>
    <w:p w14:paraId="071404DF" w14:textId="77777777" w:rsidR="00C16F43" w:rsidRDefault="00C16F43"/>
    <w:p w14:paraId="260B9CD4" w14:textId="77777777" w:rsidR="00C16F43" w:rsidRDefault="00C16F43"/>
    <w:tbl>
      <w:tblPr>
        <w:tblStyle w:val="ae"/>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6E48EEED" w14:textId="77777777">
        <w:tc>
          <w:tcPr>
            <w:tcW w:w="8789" w:type="dxa"/>
            <w:gridSpan w:val="2"/>
            <w:vAlign w:val="center"/>
          </w:tcPr>
          <w:p w14:paraId="268C453D" w14:textId="77777777" w:rsidR="00C16F43" w:rsidRDefault="00FD42D2">
            <w:pPr>
              <w:jc w:val="left"/>
              <w:rPr>
                <w:b/>
              </w:rPr>
            </w:pPr>
            <w:r>
              <w:rPr>
                <w:b/>
              </w:rPr>
              <w:t>Activity / task 5: Visiting classes Chemistry</w:t>
            </w:r>
          </w:p>
        </w:tc>
      </w:tr>
      <w:tr w:rsidR="00C16F43" w14:paraId="5F4648C7" w14:textId="77777777">
        <w:tc>
          <w:tcPr>
            <w:tcW w:w="2268" w:type="dxa"/>
            <w:vAlign w:val="center"/>
          </w:tcPr>
          <w:p w14:paraId="7F02FC05" w14:textId="77777777" w:rsidR="00C16F43" w:rsidRDefault="00FD42D2">
            <w:pPr>
              <w:jc w:val="left"/>
            </w:pPr>
            <w:r>
              <w:t>Description:</w:t>
            </w:r>
          </w:p>
        </w:tc>
        <w:tc>
          <w:tcPr>
            <w:tcW w:w="6521" w:type="dxa"/>
            <w:vAlign w:val="center"/>
          </w:tcPr>
          <w:p w14:paraId="308B4AAC" w14:textId="77777777" w:rsidR="00C16F43" w:rsidRDefault="00FD42D2">
            <w:pPr>
              <w:numPr>
                <w:ilvl w:val="0"/>
                <w:numId w:val="12"/>
              </w:numPr>
              <w:jc w:val="left"/>
            </w:pPr>
            <w:r>
              <w:t>The Chemistry teacher begins the class by reviewing the previous day's lesson on chemical bonding. The teacher then introduces the students to the new lesson on acids and bases.</w:t>
            </w:r>
          </w:p>
          <w:p w14:paraId="6ABC6FE4" w14:textId="77777777" w:rsidR="00C16F43" w:rsidRDefault="00FD42D2">
            <w:pPr>
              <w:numPr>
                <w:ilvl w:val="0"/>
                <w:numId w:val="12"/>
              </w:numPr>
              <w:jc w:val="left"/>
            </w:pPr>
            <w:r>
              <w:t>The teacher explains the properties of acids and bases, and how to identify them. The teacher may also discuss the different types of acids and bases, and their uses in everyday life.</w:t>
            </w:r>
          </w:p>
          <w:p w14:paraId="5A1D5BA3" w14:textId="77777777" w:rsidR="00C16F43" w:rsidRDefault="00FD42D2">
            <w:pPr>
              <w:numPr>
                <w:ilvl w:val="0"/>
                <w:numId w:val="12"/>
              </w:numPr>
              <w:jc w:val="left"/>
            </w:pPr>
            <w:r>
              <w:t>The teacher leads a class discussion on the pH scale. The teacher explains how to measure pH, and how pH can be used to determine whether a substance is acidic, basic, or neutral.</w:t>
            </w:r>
          </w:p>
          <w:p w14:paraId="335165F1" w14:textId="77777777" w:rsidR="00C16F43" w:rsidRDefault="00FD42D2">
            <w:pPr>
              <w:numPr>
                <w:ilvl w:val="0"/>
                <w:numId w:val="12"/>
              </w:numPr>
              <w:jc w:val="left"/>
            </w:pPr>
            <w:r>
              <w:t>The teacher has the students work in pairs or small groups to conduct an experiment on acids and bases. The experiment may involve measuring the pH of different substances, or observing how acids and bases react with each other.</w:t>
            </w:r>
          </w:p>
          <w:p w14:paraId="54C08D57" w14:textId="77777777" w:rsidR="00C16F43" w:rsidRDefault="00FD42D2">
            <w:pPr>
              <w:numPr>
                <w:ilvl w:val="0"/>
                <w:numId w:val="12"/>
              </w:numPr>
              <w:jc w:val="left"/>
            </w:pPr>
            <w:r>
              <w:t>The teacher circulates around the room to help the students with their experiment and to observe their progress. The teacher also assesses the students' understanding of acids and bases by asking them questions about the experiment and the class discussion.</w:t>
            </w:r>
          </w:p>
          <w:p w14:paraId="79FB24AF" w14:textId="77777777" w:rsidR="00C16F43" w:rsidRDefault="00C16F43">
            <w:pPr>
              <w:numPr>
                <w:ilvl w:val="0"/>
                <w:numId w:val="12"/>
              </w:numPr>
              <w:jc w:val="left"/>
            </w:pPr>
          </w:p>
          <w:p w14:paraId="32BB44DC" w14:textId="77777777" w:rsidR="00C16F43" w:rsidRDefault="00FD42D2">
            <w:pPr>
              <w:ind w:left="720"/>
              <w:jc w:val="left"/>
            </w:pPr>
            <w:r>
              <w:t>Additional Observations</w:t>
            </w:r>
          </w:p>
          <w:p w14:paraId="554D8C5B" w14:textId="77777777" w:rsidR="00C16F43" w:rsidRDefault="00C16F43">
            <w:pPr>
              <w:ind w:left="720"/>
              <w:jc w:val="left"/>
            </w:pPr>
          </w:p>
          <w:p w14:paraId="1B0E5022" w14:textId="77777777" w:rsidR="00C16F43" w:rsidRDefault="00FD42D2">
            <w:pPr>
              <w:numPr>
                <w:ilvl w:val="0"/>
                <w:numId w:val="12"/>
              </w:numPr>
              <w:jc w:val="left"/>
            </w:pPr>
            <w:r>
              <w:t>The job-shadowing teacher may ask the Chemistry teacher questions about the specific teaching methods and resources that are used in the class.</w:t>
            </w:r>
          </w:p>
          <w:p w14:paraId="0F24F05C" w14:textId="77777777" w:rsidR="00C16F43" w:rsidRDefault="00FD42D2">
            <w:pPr>
              <w:numPr>
                <w:ilvl w:val="0"/>
                <w:numId w:val="12"/>
              </w:numPr>
              <w:jc w:val="left"/>
            </w:pPr>
            <w:r>
              <w:t>The job-shadowing teacher may also observe how the Chemistry teacher differentiates instruction to meet the needs of all learners.</w:t>
            </w:r>
          </w:p>
          <w:p w14:paraId="1725C241" w14:textId="77777777" w:rsidR="00C16F43" w:rsidRDefault="00FD42D2">
            <w:pPr>
              <w:numPr>
                <w:ilvl w:val="0"/>
                <w:numId w:val="12"/>
              </w:numPr>
              <w:jc w:val="left"/>
            </w:pPr>
            <w:r>
              <w:t>The job-shadowing teacher may take notes on the Chemistry teacher's lesson plans and activities.</w:t>
            </w:r>
          </w:p>
          <w:p w14:paraId="1E9A005F" w14:textId="77777777" w:rsidR="00C16F43" w:rsidRDefault="00FD42D2">
            <w:pPr>
              <w:numPr>
                <w:ilvl w:val="0"/>
                <w:numId w:val="12"/>
              </w:numPr>
              <w:jc w:val="left"/>
            </w:pPr>
            <w:r>
              <w:lastRenderedPageBreak/>
              <w:t>The job-shadowing teacher may also take photos or videos of the Chemistry class to share with their students and colleagues back home.</w:t>
            </w:r>
          </w:p>
          <w:p w14:paraId="150CFE4D" w14:textId="77777777" w:rsidR="00C16F43" w:rsidRDefault="00FD42D2">
            <w:pPr>
              <w:numPr>
                <w:ilvl w:val="0"/>
                <w:numId w:val="12"/>
              </w:numPr>
              <w:jc w:val="left"/>
            </w:pPr>
            <w:r>
              <w:t>By observing a Chemistry class, a job-shadowing teacher can gain new insights into how to teach this subject effectively. The job-shadowing teacher can also learn new teaching methods and resources that they can use in their own classroom.</w:t>
            </w:r>
          </w:p>
          <w:p w14:paraId="2E8495E2" w14:textId="77777777" w:rsidR="00C16F43" w:rsidRDefault="00C16F43">
            <w:pPr>
              <w:numPr>
                <w:ilvl w:val="0"/>
                <w:numId w:val="12"/>
              </w:numPr>
              <w:jc w:val="left"/>
            </w:pPr>
          </w:p>
          <w:p w14:paraId="2F76C4A3" w14:textId="77777777" w:rsidR="00C16F43" w:rsidRDefault="00FD42D2">
            <w:pPr>
              <w:numPr>
                <w:ilvl w:val="0"/>
                <w:numId w:val="12"/>
              </w:numPr>
              <w:jc w:val="left"/>
            </w:pPr>
            <w:r>
              <w:t>Here are some specific examples of experiments that the job-shadowing teacher may observe in the Chemistry class on acids and bases:</w:t>
            </w:r>
          </w:p>
          <w:p w14:paraId="7A626A44" w14:textId="77777777" w:rsidR="00C16F43" w:rsidRDefault="00C16F43">
            <w:pPr>
              <w:numPr>
                <w:ilvl w:val="0"/>
                <w:numId w:val="12"/>
              </w:numPr>
              <w:jc w:val="left"/>
            </w:pPr>
          </w:p>
          <w:p w14:paraId="2C93B6BA" w14:textId="77777777" w:rsidR="00C16F43" w:rsidRDefault="00FD42D2">
            <w:pPr>
              <w:numPr>
                <w:ilvl w:val="0"/>
                <w:numId w:val="12"/>
              </w:numPr>
              <w:jc w:val="left"/>
            </w:pPr>
            <w:r>
              <w:t>The students could use a pH metre to measure the pH of different substances, such as water, vinegar, and baking soda.</w:t>
            </w:r>
          </w:p>
          <w:p w14:paraId="39D5D95C" w14:textId="77777777" w:rsidR="00C16F43" w:rsidRDefault="00FD42D2">
            <w:pPr>
              <w:numPr>
                <w:ilvl w:val="0"/>
                <w:numId w:val="12"/>
              </w:numPr>
              <w:jc w:val="left"/>
            </w:pPr>
            <w:r>
              <w:t>The students could observe how acids and bases react with each other by mixing different acids and bases together.</w:t>
            </w:r>
          </w:p>
          <w:p w14:paraId="5C006574" w14:textId="77777777" w:rsidR="00C16F43" w:rsidRDefault="00FD42D2">
            <w:pPr>
              <w:numPr>
                <w:ilvl w:val="0"/>
                <w:numId w:val="12"/>
              </w:numPr>
              <w:jc w:val="left"/>
            </w:pPr>
            <w:r>
              <w:t>The students could investigate the neutralisation reaction between an acid and a base by adding a base to an acid until the pH is neutral.</w:t>
            </w:r>
          </w:p>
          <w:p w14:paraId="1640F47A" w14:textId="77777777" w:rsidR="00C16F43" w:rsidRDefault="00FD42D2">
            <w:pPr>
              <w:numPr>
                <w:ilvl w:val="0"/>
                <w:numId w:val="12"/>
              </w:numPr>
              <w:jc w:val="left"/>
            </w:pPr>
            <w:r>
              <w:t>The students could make their own soap or detergent by reacting an acid with a base.</w:t>
            </w:r>
          </w:p>
          <w:p w14:paraId="54EF9DEC" w14:textId="77777777" w:rsidR="00C16F43" w:rsidRDefault="00FD42D2">
            <w:pPr>
              <w:numPr>
                <w:ilvl w:val="0"/>
                <w:numId w:val="12"/>
              </w:numPr>
              <w:jc w:val="left"/>
            </w:pPr>
            <w:r>
              <w:t>The students could investigate the effect of acids and bases on different materials, such as metal and paper.</w:t>
            </w:r>
          </w:p>
          <w:p w14:paraId="078A4A05" w14:textId="77777777" w:rsidR="00C16F43" w:rsidRDefault="00FD42D2">
            <w:pPr>
              <w:numPr>
                <w:ilvl w:val="0"/>
                <w:numId w:val="12"/>
              </w:numPr>
              <w:jc w:val="left"/>
            </w:pPr>
            <w:r>
              <w:t>By observing these and other experiments, the job-shadowing teacher can learn more about how to teach acids and bases in a fun and engaging way.</w:t>
            </w:r>
          </w:p>
        </w:tc>
      </w:tr>
    </w:tbl>
    <w:p w14:paraId="2662E584" w14:textId="77777777" w:rsidR="00C16F43" w:rsidRDefault="00C16F43"/>
    <w:p w14:paraId="3B0BD005" w14:textId="77777777" w:rsidR="00C16F43" w:rsidRDefault="00C16F43"/>
    <w:tbl>
      <w:tblPr>
        <w:tblStyle w:val="af"/>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39049F4F" w14:textId="77777777">
        <w:tc>
          <w:tcPr>
            <w:tcW w:w="8789" w:type="dxa"/>
            <w:gridSpan w:val="2"/>
            <w:vAlign w:val="center"/>
          </w:tcPr>
          <w:p w14:paraId="4F382C34" w14:textId="77777777" w:rsidR="00C16F43" w:rsidRDefault="00FD42D2">
            <w:pPr>
              <w:jc w:val="left"/>
              <w:rPr>
                <w:b/>
              </w:rPr>
            </w:pPr>
            <w:r>
              <w:rPr>
                <w:b/>
              </w:rPr>
              <w:t>Activity / task 6: Greenville farm - Green entrepreneurship</w:t>
            </w:r>
          </w:p>
        </w:tc>
      </w:tr>
      <w:tr w:rsidR="00C16F43" w14:paraId="08B6D3D3" w14:textId="77777777">
        <w:tc>
          <w:tcPr>
            <w:tcW w:w="2268" w:type="dxa"/>
            <w:vAlign w:val="center"/>
          </w:tcPr>
          <w:p w14:paraId="01605A11" w14:textId="77777777" w:rsidR="00C16F43" w:rsidRDefault="00FD42D2">
            <w:pPr>
              <w:jc w:val="left"/>
            </w:pPr>
            <w:r>
              <w:t>Description:</w:t>
            </w:r>
          </w:p>
        </w:tc>
        <w:tc>
          <w:tcPr>
            <w:tcW w:w="6521" w:type="dxa"/>
            <w:vAlign w:val="center"/>
          </w:tcPr>
          <w:p w14:paraId="686BF2C6" w14:textId="77777777" w:rsidR="00C16F43" w:rsidRDefault="00FD42D2">
            <w:pPr>
              <w:numPr>
                <w:ilvl w:val="0"/>
                <w:numId w:val="9"/>
              </w:numPr>
              <w:jc w:val="left"/>
            </w:pPr>
            <w:r>
              <w:t>The teachers will visit a Greenville farm to introduce them to the concept of green entrepreneurship. In that way they can learn the equilibrium between business growth and environmental sustainability.</w:t>
            </w:r>
          </w:p>
          <w:p w14:paraId="104D8368" w14:textId="77777777" w:rsidR="00C16F43" w:rsidRDefault="00FD42D2">
            <w:pPr>
              <w:numPr>
                <w:ilvl w:val="0"/>
                <w:numId w:val="9"/>
              </w:numPr>
              <w:jc w:val="left"/>
            </w:pPr>
            <w:r>
              <w:t>We will provide teachers the opportunity to learn about best practices in sustainable farming and business practices.</w:t>
            </w:r>
          </w:p>
        </w:tc>
      </w:tr>
    </w:tbl>
    <w:p w14:paraId="68E8EB1D" w14:textId="77777777" w:rsidR="00C16F43" w:rsidRDefault="00C16F43"/>
    <w:p w14:paraId="4A90B0D8" w14:textId="77777777" w:rsidR="00C16F43" w:rsidRDefault="00C16F43"/>
    <w:tbl>
      <w:tblPr>
        <w:tblStyle w:val="af0"/>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5ED04B53" w14:textId="77777777">
        <w:tc>
          <w:tcPr>
            <w:tcW w:w="8789" w:type="dxa"/>
            <w:gridSpan w:val="2"/>
            <w:vAlign w:val="center"/>
          </w:tcPr>
          <w:p w14:paraId="2BDD2B3B" w14:textId="77777777" w:rsidR="00C16F43" w:rsidRDefault="00FD42D2">
            <w:pPr>
              <w:jc w:val="left"/>
              <w:rPr>
                <w:b/>
              </w:rPr>
            </w:pPr>
            <w:r>
              <w:rPr>
                <w:b/>
              </w:rPr>
              <w:t>Activity / task 7: Visiting RIMAC factory</w:t>
            </w:r>
          </w:p>
        </w:tc>
      </w:tr>
      <w:tr w:rsidR="00C16F43" w14:paraId="6F629F97" w14:textId="77777777">
        <w:tc>
          <w:tcPr>
            <w:tcW w:w="2268" w:type="dxa"/>
            <w:vAlign w:val="center"/>
          </w:tcPr>
          <w:p w14:paraId="77E6A7A2" w14:textId="77777777" w:rsidR="00C16F43" w:rsidRDefault="00FD42D2">
            <w:pPr>
              <w:jc w:val="left"/>
            </w:pPr>
            <w:r>
              <w:t>Description:</w:t>
            </w:r>
          </w:p>
        </w:tc>
        <w:tc>
          <w:tcPr>
            <w:tcW w:w="6521" w:type="dxa"/>
            <w:vAlign w:val="center"/>
          </w:tcPr>
          <w:p w14:paraId="66B9F50D" w14:textId="77777777" w:rsidR="00C16F43" w:rsidRDefault="00FD42D2">
            <w:pPr>
              <w:numPr>
                <w:ilvl w:val="0"/>
                <w:numId w:val="14"/>
              </w:numPr>
              <w:jc w:val="left"/>
            </w:pPr>
            <w:r>
              <w:rPr>
                <w:color w:val="000000"/>
              </w:rPr>
              <w:t xml:space="preserve">See how revolutionary hypercars with relentless innovation and a rebellious vision are made. Get behind the scenes at Rimac </w:t>
            </w:r>
          </w:p>
          <w:p w14:paraId="06FACFAA" w14:textId="77777777" w:rsidR="00C16F43" w:rsidRDefault="00FD42D2">
            <w:pPr>
              <w:numPr>
                <w:ilvl w:val="0"/>
                <w:numId w:val="14"/>
              </w:numPr>
              <w:jc w:val="left"/>
            </w:pPr>
            <w:r>
              <w:rPr>
                <w:color w:val="000000"/>
              </w:rPr>
              <w:t>Walk down the history line and meet the iconic Concept_One, our technology in other hypercars and our latest hypercar – the Nevera.</w:t>
            </w:r>
          </w:p>
          <w:p w14:paraId="5EFD5B5D" w14:textId="77777777" w:rsidR="00C16F43" w:rsidRDefault="00FD42D2">
            <w:pPr>
              <w:numPr>
                <w:ilvl w:val="0"/>
                <w:numId w:val="14"/>
              </w:numPr>
              <w:jc w:val="left"/>
            </w:pPr>
            <w:r>
              <w:rPr>
                <w:color w:val="000000"/>
              </w:rPr>
              <w:t>Watch the process of building the interior of a hypercar. Embossing, sewing, cutting. Everything is handmade in our upholstery department.</w:t>
            </w:r>
          </w:p>
          <w:p w14:paraId="38A6D7E0" w14:textId="77777777" w:rsidR="00C16F43" w:rsidRDefault="00FD42D2">
            <w:pPr>
              <w:numPr>
                <w:ilvl w:val="0"/>
                <w:numId w:val="14"/>
              </w:numPr>
              <w:jc w:val="left"/>
            </w:pPr>
            <w:r>
              <w:rPr>
                <w:color w:val="000000"/>
              </w:rPr>
              <w:t>Get a closer look at the „nervous system of the car” – wiring harness that powers the Nevera</w:t>
            </w:r>
          </w:p>
          <w:p w14:paraId="73B48516" w14:textId="77777777" w:rsidR="00C16F43" w:rsidRDefault="00FD42D2">
            <w:pPr>
              <w:pStyle w:val="Naslov5"/>
              <w:keepNext w:val="0"/>
              <w:keepLines w:val="0"/>
              <w:numPr>
                <w:ilvl w:val="0"/>
                <w:numId w:val="14"/>
              </w:numPr>
              <w:spacing w:before="0" w:after="80"/>
              <w:jc w:val="left"/>
            </w:pPr>
            <w:bookmarkStart w:id="1" w:name="_heading=h.5ehojwhgpiy0" w:colFirst="0" w:colLast="0"/>
            <w:bookmarkEnd w:id="1"/>
            <w:r>
              <w:rPr>
                <w:rFonts w:ascii="Verdana" w:eastAsia="Verdana" w:hAnsi="Verdana" w:cs="Verdana"/>
                <w:color w:val="000000"/>
              </w:rPr>
              <w:lastRenderedPageBreak/>
              <w:t>BATTERY PRODUCTION Get behind the scenes at Rimac bespoke battery solutions for the most demanding projects.</w:t>
            </w:r>
          </w:p>
        </w:tc>
      </w:tr>
    </w:tbl>
    <w:p w14:paraId="359154C6" w14:textId="77777777" w:rsidR="00C16F43" w:rsidRDefault="00C16F43"/>
    <w:tbl>
      <w:tblPr>
        <w:tblStyle w:val="af1"/>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4DF2ADD3" w14:textId="77777777">
        <w:tc>
          <w:tcPr>
            <w:tcW w:w="8789" w:type="dxa"/>
            <w:gridSpan w:val="2"/>
            <w:vAlign w:val="center"/>
          </w:tcPr>
          <w:p w14:paraId="236DFF95" w14:textId="77777777" w:rsidR="00C16F43" w:rsidRDefault="00FD42D2">
            <w:pPr>
              <w:jc w:val="left"/>
              <w:rPr>
                <w:b/>
              </w:rPr>
            </w:pPr>
            <w:r>
              <w:rPr>
                <w:b/>
              </w:rPr>
              <w:t>Activity / task 8: Tour of the city Zagreb</w:t>
            </w:r>
          </w:p>
        </w:tc>
      </w:tr>
      <w:tr w:rsidR="00C16F43" w14:paraId="5DA00CD0" w14:textId="77777777">
        <w:tc>
          <w:tcPr>
            <w:tcW w:w="2268" w:type="dxa"/>
            <w:vAlign w:val="center"/>
          </w:tcPr>
          <w:p w14:paraId="7203686B" w14:textId="77777777" w:rsidR="00C16F43" w:rsidRDefault="00FD42D2">
            <w:pPr>
              <w:jc w:val="left"/>
            </w:pPr>
            <w:r>
              <w:t>Description:</w:t>
            </w:r>
          </w:p>
        </w:tc>
        <w:tc>
          <w:tcPr>
            <w:tcW w:w="6521" w:type="dxa"/>
            <w:vAlign w:val="center"/>
          </w:tcPr>
          <w:p w14:paraId="07C9B8E0" w14:textId="77777777" w:rsidR="00C16F43" w:rsidRDefault="00FD42D2">
            <w:pPr>
              <w:numPr>
                <w:ilvl w:val="0"/>
                <w:numId w:val="14"/>
              </w:numPr>
              <w:jc w:val="left"/>
            </w:pPr>
            <w:r>
              <w:t>Visits to schools and universities to learn about the Croatian education system and best practices in teaching and learning.</w:t>
            </w:r>
          </w:p>
          <w:p w14:paraId="60C62158" w14:textId="77777777" w:rsidR="00C16F43" w:rsidRDefault="00FD42D2">
            <w:pPr>
              <w:numPr>
                <w:ilvl w:val="0"/>
                <w:numId w:val="14"/>
              </w:numPr>
              <w:jc w:val="left"/>
            </w:pPr>
            <w:r>
              <w:t>Meetings with Croatian teachers and education experts to discuss common challenges and opportunities.</w:t>
            </w:r>
          </w:p>
          <w:p w14:paraId="2BFA211C" w14:textId="77777777" w:rsidR="00C16F43" w:rsidRDefault="00FD42D2">
            <w:pPr>
              <w:numPr>
                <w:ilvl w:val="0"/>
                <w:numId w:val="14"/>
              </w:numPr>
              <w:jc w:val="left"/>
            </w:pPr>
            <w:r>
              <w:t>Workshops on Croatian culture, language, and teaching methods.</w:t>
            </w:r>
          </w:p>
          <w:p w14:paraId="35D4F77B" w14:textId="77777777" w:rsidR="00C16F43" w:rsidRDefault="00FD42D2">
            <w:pPr>
              <w:numPr>
                <w:ilvl w:val="0"/>
                <w:numId w:val="14"/>
              </w:numPr>
              <w:jc w:val="left"/>
            </w:pPr>
            <w:r>
              <w:t>Cultural excursions to visit Zagreb's historical and cultural landmarks.</w:t>
            </w:r>
          </w:p>
          <w:p w14:paraId="4626E806" w14:textId="77777777" w:rsidR="00C16F43" w:rsidRDefault="00FD42D2">
            <w:pPr>
              <w:numPr>
                <w:ilvl w:val="0"/>
                <w:numId w:val="14"/>
              </w:numPr>
              <w:jc w:val="left"/>
            </w:pPr>
            <w:r>
              <w:t>Social events to give teachers the opportunity to meet and socialise with each other.</w:t>
            </w:r>
          </w:p>
        </w:tc>
      </w:tr>
    </w:tbl>
    <w:p w14:paraId="60187136" w14:textId="77777777" w:rsidR="00C16F43" w:rsidRDefault="00C16F43"/>
    <w:tbl>
      <w:tblPr>
        <w:tblStyle w:val="af2"/>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5BC458AC" w14:textId="77777777">
        <w:tc>
          <w:tcPr>
            <w:tcW w:w="8789" w:type="dxa"/>
            <w:gridSpan w:val="2"/>
            <w:vAlign w:val="center"/>
          </w:tcPr>
          <w:p w14:paraId="24BC02CE" w14:textId="77777777" w:rsidR="00C16F43" w:rsidRDefault="00FD42D2">
            <w:pPr>
              <w:jc w:val="left"/>
              <w:rPr>
                <w:b/>
              </w:rPr>
            </w:pPr>
            <w:r>
              <w:rPr>
                <w:b/>
              </w:rPr>
              <w:t>Activity / task 9: Nights of Maths - event</w:t>
            </w:r>
          </w:p>
        </w:tc>
      </w:tr>
      <w:tr w:rsidR="00C16F43" w14:paraId="7DF59BE4" w14:textId="77777777">
        <w:tc>
          <w:tcPr>
            <w:tcW w:w="2268" w:type="dxa"/>
            <w:vAlign w:val="center"/>
          </w:tcPr>
          <w:p w14:paraId="168AB566" w14:textId="77777777" w:rsidR="00C16F43" w:rsidRDefault="00FD42D2">
            <w:pPr>
              <w:jc w:val="left"/>
            </w:pPr>
            <w:r>
              <w:t>Description:</w:t>
            </w:r>
          </w:p>
        </w:tc>
        <w:tc>
          <w:tcPr>
            <w:tcW w:w="6521" w:type="dxa"/>
            <w:vAlign w:val="center"/>
          </w:tcPr>
          <w:p w14:paraId="625DC7A5" w14:textId="77777777" w:rsidR="00C16F43" w:rsidRDefault="00FD42D2">
            <w:pPr>
              <w:numPr>
                <w:ilvl w:val="0"/>
                <w:numId w:val="14"/>
              </w:numPr>
              <w:jc w:val="left"/>
            </w:pPr>
            <w:r>
              <w:t>Our school is holding events to bust misconceptions and get adults on board with one of schools’ most anxiety-ridden subjects.</w:t>
            </w:r>
          </w:p>
          <w:p w14:paraId="42C0EA9F" w14:textId="77777777" w:rsidR="00C16F43" w:rsidRDefault="00FD42D2">
            <w:pPr>
              <w:ind w:left="720"/>
              <w:jc w:val="left"/>
            </w:pPr>
            <w:r>
              <w:t xml:space="preserve">So, the teachers can observe a family maths night that are designed to engage parents and guardians in fun games with their children. </w:t>
            </w:r>
          </w:p>
        </w:tc>
      </w:tr>
    </w:tbl>
    <w:p w14:paraId="526A7AA1" w14:textId="77777777" w:rsidR="00C16F43" w:rsidRDefault="00C16F43">
      <w:pPr>
        <w:widowControl w:val="0"/>
        <w:jc w:val="left"/>
        <w:rPr>
          <w:rFonts w:ascii="Arial" w:eastAsia="Arial" w:hAnsi="Arial" w:cs="Arial"/>
          <w:b/>
          <w:color w:val="000000"/>
          <w:sz w:val="24"/>
          <w:szCs w:val="24"/>
        </w:rPr>
      </w:pPr>
    </w:p>
    <w:p w14:paraId="59EF559E" w14:textId="77777777" w:rsidR="00C16F43" w:rsidRDefault="00C16F43"/>
    <w:tbl>
      <w:tblPr>
        <w:tblStyle w:val="af3"/>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1ED8C946" w14:textId="77777777">
        <w:tc>
          <w:tcPr>
            <w:tcW w:w="8789" w:type="dxa"/>
            <w:gridSpan w:val="2"/>
            <w:vAlign w:val="center"/>
          </w:tcPr>
          <w:p w14:paraId="4DB47427" w14:textId="77777777" w:rsidR="00C16F43" w:rsidRDefault="00FD42D2">
            <w:pPr>
              <w:jc w:val="left"/>
              <w:rPr>
                <w:b/>
              </w:rPr>
            </w:pPr>
            <w:r>
              <w:rPr>
                <w:b/>
              </w:rPr>
              <w:t xml:space="preserve">Activity / task 10: </w:t>
            </w:r>
            <w:r>
              <w:rPr>
                <w:b/>
                <w:color w:val="000000"/>
              </w:rPr>
              <w:t>Invited experts on Green entrepreneurship start-ups</w:t>
            </w:r>
          </w:p>
        </w:tc>
      </w:tr>
      <w:tr w:rsidR="00C16F43" w14:paraId="17E9AF7A" w14:textId="77777777">
        <w:tc>
          <w:tcPr>
            <w:tcW w:w="2268" w:type="dxa"/>
            <w:vAlign w:val="center"/>
          </w:tcPr>
          <w:p w14:paraId="7DAE3261" w14:textId="77777777" w:rsidR="00C16F43" w:rsidRDefault="00FD42D2">
            <w:pPr>
              <w:jc w:val="left"/>
            </w:pPr>
            <w:r>
              <w:t>Description:</w:t>
            </w:r>
          </w:p>
        </w:tc>
        <w:tc>
          <w:tcPr>
            <w:tcW w:w="6521" w:type="dxa"/>
            <w:vAlign w:val="center"/>
          </w:tcPr>
          <w:p w14:paraId="1ECFBD09" w14:textId="77777777" w:rsidR="00C16F43" w:rsidRDefault="00FD42D2">
            <w:pPr>
              <w:numPr>
                <w:ilvl w:val="0"/>
                <w:numId w:val="14"/>
              </w:numPr>
              <w:jc w:val="left"/>
            </w:pPr>
            <w:r>
              <w:t>Teachers will learn from this talk from a variety of perspectives. Experts from different backgrounds and disciplines can provide a well-rounded view of the green entrepreneurship landscape.</w:t>
            </w:r>
          </w:p>
          <w:p w14:paraId="2293B73F" w14:textId="77777777" w:rsidR="00C16F43" w:rsidRDefault="00FD42D2">
            <w:pPr>
              <w:numPr>
                <w:ilvl w:val="0"/>
                <w:numId w:val="14"/>
              </w:numPr>
              <w:jc w:val="left"/>
            </w:pPr>
            <w:r>
              <w:t>They can enhance how to promote networking and collaboration. The experts can provide clues to connect entrepreneurs with each other, as well as with potential investors, partners, and customers.</w:t>
            </w:r>
          </w:p>
        </w:tc>
      </w:tr>
    </w:tbl>
    <w:p w14:paraId="7AFD88A6" w14:textId="77777777" w:rsidR="00C16F43" w:rsidRDefault="00C16F43">
      <w:pPr>
        <w:widowControl w:val="0"/>
        <w:jc w:val="center"/>
        <w:rPr>
          <w:rFonts w:ascii="Arial" w:eastAsia="Arial" w:hAnsi="Arial" w:cs="Arial"/>
          <w:b/>
          <w:color w:val="000000"/>
          <w:sz w:val="24"/>
          <w:szCs w:val="24"/>
        </w:rPr>
      </w:pPr>
    </w:p>
    <w:p w14:paraId="6B704462" w14:textId="77777777" w:rsidR="00C16F43" w:rsidRDefault="00C16F43"/>
    <w:tbl>
      <w:tblPr>
        <w:tblStyle w:val="af4"/>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0862B509" w14:textId="77777777">
        <w:tc>
          <w:tcPr>
            <w:tcW w:w="8789" w:type="dxa"/>
            <w:gridSpan w:val="2"/>
            <w:vAlign w:val="center"/>
          </w:tcPr>
          <w:p w14:paraId="4CFC5C03" w14:textId="77777777" w:rsidR="00C16F43" w:rsidRDefault="00FD42D2">
            <w:pPr>
              <w:jc w:val="left"/>
              <w:rPr>
                <w:b/>
              </w:rPr>
            </w:pPr>
            <w:r>
              <w:rPr>
                <w:b/>
              </w:rPr>
              <w:t>Activity / task 11: Visit to Museum of Illusions and museum of Natural Sciences</w:t>
            </w:r>
          </w:p>
        </w:tc>
      </w:tr>
      <w:tr w:rsidR="00C16F43" w14:paraId="520EBBC4" w14:textId="77777777">
        <w:tc>
          <w:tcPr>
            <w:tcW w:w="2268" w:type="dxa"/>
            <w:vAlign w:val="center"/>
          </w:tcPr>
          <w:p w14:paraId="4DC7DADB" w14:textId="77777777" w:rsidR="00C16F43" w:rsidRDefault="00FD42D2">
            <w:pPr>
              <w:jc w:val="left"/>
            </w:pPr>
            <w:r>
              <w:t>Description:</w:t>
            </w:r>
          </w:p>
        </w:tc>
        <w:tc>
          <w:tcPr>
            <w:tcW w:w="6521" w:type="dxa"/>
            <w:vAlign w:val="center"/>
          </w:tcPr>
          <w:p w14:paraId="0723F36E" w14:textId="77777777" w:rsidR="00C16F43" w:rsidRDefault="00FD42D2">
            <w:pPr>
              <w:jc w:val="left"/>
            </w:pPr>
            <w:r>
              <w:t>Natural Science Museum:</w:t>
            </w:r>
          </w:p>
          <w:p w14:paraId="093E7DB5" w14:textId="77777777" w:rsidR="00C16F43" w:rsidRDefault="00C16F43">
            <w:pPr>
              <w:jc w:val="left"/>
            </w:pPr>
          </w:p>
          <w:p w14:paraId="3D694BD1" w14:textId="77777777" w:rsidR="00C16F43" w:rsidRDefault="00FD42D2">
            <w:pPr>
              <w:jc w:val="left"/>
            </w:pPr>
            <w:r>
              <w:t>Content Knowledge Enhancement: Teachers can deepen their understanding of natural sciences by engaging with exhibits and displays that cover a range of topics such as biology, geology, astronomy, and ecology.</w:t>
            </w:r>
          </w:p>
          <w:p w14:paraId="0B8E5A36" w14:textId="77777777" w:rsidR="00C16F43" w:rsidRDefault="00C16F43">
            <w:pPr>
              <w:jc w:val="left"/>
            </w:pPr>
          </w:p>
          <w:p w14:paraId="6F276F74" w14:textId="77777777" w:rsidR="00C16F43" w:rsidRDefault="00FD42D2">
            <w:pPr>
              <w:jc w:val="left"/>
            </w:pPr>
            <w:r>
              <w:t>Curriculum Enrichment: Exposure to museum exhibits can inspire teachers to enhance their curriculum with real-world examples, interactive activities, and hands-on experiments that align with the subjects they teach.</w:t>
            </w:r>
          </w:p>
          <w:p w14:paraId="56EBAAED" w14:textId="77777777" w:rsidR="00C16F43" w:rsidRDefault="00C16F43">
            <w:pPr>
              <w:jc w:val="left"/>
            </w:pPr>
          </w:p>
          <w:p w14:paraId="2A09349E" w14:textId="77777777" w:rsidR="00C16F43" w:rsidRDefault="00FD42D2">
            <w:pPr>
              <w:numPr>
                <w:ilvl w:val="0"/>
                <w:numId w:val="13"/>
              </w:numPr>
              <w:jc w:val="left"/>
            </w:pPr>
            <w:r>
              <w:t xml:space="preserve">Pedagogical Ideas: Observing how the museum presents complex scientific concepts can provide teachers with new ideas for effective teaching </w:t>
            </w:r>
            <w:r>
              <w:lastRenderedPageBreak/>
              <w:t>methods, including interactive demonstrations, inquiry-based learning, and the use of multimedia resources.</w:t>
            </w:r>
          </w:p>
          <w:p w14:paraId="3E34682A" w14:textId="77777777" w:rsidR="00C16F43" w:rsidRDefault="00C16F43">
            <w:pPr>
              <w:jc w:val="left"/>
            </w:pPr>
          </w:p>
          <w:p w14:paraId="7B8CFA22" w14:textId="77777777" w:rsidR="00C16F43" w:rsidRDefault="00FD42D2">
            <w:pPr>
              <w:numPr>
                <w:ilvl w:val="0"/>
                <w:numId w:val="16"/>
              </w:numPr>
              <w:jc w:val="left"/>
            </w:pPr>
            <w:r>
              <w:t>Connection to Classroom: Teachers can learn how to connect museum experiences to their classroom instruction, making lessons more engaging and relevant to students. This may involve incorporating field trip experiences, virtual tours, or museum resources into lesson plans.</w:t>
            </w:r>
          </w:p>
          <w:p w14:paraId="6A64D340" w14:textId="77777777" w:rsidR="00C16F43" w:rsidRDefault="00C16F43">
            <w:pPr>
              <w:jc w:val="left"/>
            </w:pPr>
          </w:p>
          <w:p w14:paraId="3909237B" w14:textId="77777777" w:rsidR="00C16F43" w:rsidRDefault="00FD42D2">
            <w:pPr>
              <w:numPr>
                <w:ilvl w:val="0"/>
                <w:numId w:val="1"/>
              </w:numPr>
              <w:jc w:val="left"/>
            </w:pPr>
            <w:r>
              <w:t>Networking Opportunities: Visits to natural science museums often include opportunities to connect with other educators, museum staff, and scientists. Collaborative discussions can lead to the sharing of best practices and the development of new teaching strategies.</w:t>
            </w:r>
          </w:p>
          <w:p w14:paraId="2EA2E85F" w14:textId="77777777" w:rsidR="00C16F43" w:rsidRDefault="00C16F43">
            <w:pPr>
              <w:jc w:val="left"/>
            </w:pPr>
          </w:p>
          <w:p w14:paraId="3AB95150" w14:textId="77777777" w:rsidR="00C16F43" w:rsidRDefault="00FD42D2">
            <w:pPr>
              <w:jc w:val="left"/>
            </w:pPr>
            <w:r>
              <w:t>Museum of Illusions:</w:t>
            </w:r>
          </w:p>
          <w:p w14:paraId="72714ADE" w14:textId="77777777" w:rsidR="00C16F43" w:rsidRDefault="00C16F43">
            <w:pPr>
              <w:jc w:val="left"/>
            </w:pPr>
          </w:p>
          <w:p w14:paraId="7F521A8F" w14:textId="77777777" w:rsidR="00C16F43" w:rsidRDefault="00FD42D2">
            <w:pPr>
              <w:numPr>
                <w:ilvl w:val="0"/>
                <w:numId w:val="4"/>
              </w:numPr>
              <w:jc w:val="left"/>
            </w:pPr>
            <w:r>
              <w:t>Understanding Perception: Teachers can gain insights into how the human brain processes visual information and perceives the world. This knowledge can be applied in the classroom to help students understand the role of perception in science and everyday life.</w:t>
            </w:r>
          </w:p>
          <w:p w14:paraId="0BD1E028" w14:textId="77777777" w:rsidR="00C16F43" w:rsidRDefault="00C16F43">
            <w:pPr>
              <w:jc w:val="left"/>
            </w:pPr>
          </w:p>
          <w:p w14:paraId="0D9109EB" w14:textId="77777777" w:rsidR="00C16F43" w:rsidRDefault="00FD42D2">
            <w:pPr>
              <w:numPr>
                <w:ilvl w:val="0"/>
                <w:numId w:val="10"/>
              </w:numPr>
              <w:jc w:val="left"/>
            </w:pPr>
            <w:r>
              <w:t>Critical Thinking Development: Exposure to optical illusions and mind-bending exhibits can stimulate critical thinking skills. Teachers may learn how to incorporate activities that challenge students' assumptions and encourage them to question and analyze information.</w:t>
            </w:r>
          </w:p>
          <w:p w14:paraId="1036365E" w14:textId="77777777" w:rsidR="00C16F43" w:rsidRDefault="00C16F43">
            <w:pPr>
              <w:jc w:val="left"/>
            </w:pPr>
          </w:p>
          <w:p w14:paraId="0AD07E42" w14:textId="77777777" w:rsidR="00C16F43" w:rsidRDefault="00FD42D2">
            <w:pPr>
              <w:numPr>
                <w:ilvl w:val="0"/>
                <w:numId w:val="5"/>
              </w:numPr>
              <w:jc w:val="left"/>
            </w:pPr>
            <w:r>
              <w:t>Interdisciplinary Connections: Teachers can explore how illusions relate to various subjects, including psychology, physics, and mathematics. This interdisciplinary approach can inspire educators to create cross-curricular lessons that integrate concepts from different fields.</w:t>
            </w:r>
          </w:p>
          <w:p w14:paraId="7B884FBD" w14:textId="77777777" w:rsidR="00C16F43" w:rsidRDefault="00C16F43">
            <w:pPr>
              <w:jc w:val="left"/>
            </w:pPr>
          </w:p>
          <w:p w14:paraId="3767F47B" w14:textId="77777777" w:rsidR="00C16F43" w:rsidRDefault="00FD42D2">
            <w:pPr>
              <w:numPr>
                <w:ilvl w:val="0"/>
                <w:numId w:val="15"/>
              </w:numPr>
              <w:jc w:val="left"/>
            </w:pPr>
            <w:r>
              <w:t>Creativity Enhancement: The museum of illusions often features exhibits that play with creativity and imagination. Teachers can discover ways to incorporate creative thinking into their teaching methods, fostering a more innovative and open-minded classroom environment.</w:t>
            </w:r>
          </w:p>
          <w:p w14:paraId="2A1ADF0A" w14:textId="77777777" w:rsidR="00C16F43" w:rsidRDefault="00C16F43">
            <w:pPr>
              <w:jc w:val="left"/>
            </w:pPr>
          </w:p>
          <w:p w14:paraId="63EB39A1" w14:textId="77777777" w:rsidR="00C16F43" w:rsidRDefault="00FD42D2">
            <w:pPr>
              <w:numPr>
                <w:ilvl w:val="0"/>
                <w:numId w:val="7"/>
              </w:numPr>
              <w:jc w:val="left"/>
            </w:pPr>
            <w:r>
              <w:t>Engaging Teaching Techniques: Teachers may learn engaging techniques to capture students' attention, making lessons more dynamic and enjoyable. This might include incorporating visual illusions, puzzles, and hands-on activities into the curriculum.</w:t>
            </w:r>
          </w:p>
        </w:tc>
      </w:tr>
    </w:tbl>
    <w:p w14:paraId="1A4625B9" w14:textId="77777777" w:rsidR="00C16F43" w:rsidRDefault="00FD42D2">
      <w:pPr>
        <w:widowControl w:val="0"/>
        <w:jc w:val="center"/>
      </w:pPr>
      <w:r>
        <w:rPr>
          <w:rFonts w:ascii="Arial" w:eastAsia="Arial" w:hAnsi="Arial" w:cs="Arial"/>
          <w:b/>
          <w:color w:val="000000"/>
          <w:sz w:val="24"/>
          <w:szCs w:val="24"/>
        </w:rPr>
        <w:lastRenderedPageBreak/>
        <w:t>I</w:t>
      </w:r>
    </w:p>
    <w:p w14:paraId="1021E3AE" w14:textId="77777777" w:rsidR="00C16F43" w:rsidRDefault="00FD42D2">
      <w:pPr>
        <w:pStyle w:val="Naslov1"/>
        <w:numPr>
          <w:ilvl w:val="0"/>
          <w:numId w:val="3"/>
        </w:numPr>
      </w:pPr>
      <w:r>
        <w:lastRenderedPageBreak/>
        <w:t>Monitoring, mentoring and support during the activity</w:t>
      </w:r>
    </w:p>
    <w:p w14:paraId="7F2849E5" w14:textId="77777777" w:rsidR="00C16F43" w:rsidRDefault="00FD42D2">
      <w:pPr>
        <w:pStyle w:val="Naslov2"/>
        <w:numPr>
          <w:ilvl w:val="1"/>
          <w:numId w:val="3"/>
        </w:numPr>
      </w:pPr>
      <w:r>
        <w:t>Responsible persons at the hosting organisation</w:t>
      </w:r>
    </w:p>
    <w:p w14:paraId="47A7E587" w14:textId="77777777" w:rsidR="00C16F43" w:rsidRDefault="00FD42D2">
      <w:pPr>
        <w:spacing w:before="240" w:after="240"/>
      </w:pPr>
      <w:r>
        <w:t>The following person(s) at the hosting organisation are tasked with introducing the participant to their activities and tasks at the hosting organisation, providing practical support, monitoring their learning progress, supporting them to achieve the expected learning outcomes, and helping them to integrate into the daily routines and the social context at the hosting organisation.</w:t>
      </w:r>
    </w:p>
    <w:tbl>
      <w:tblPr>
        <w:tblStyle w:val="a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C16F43" w14:paraId="55B0066C" w14:textId="77777777">
        <w:tc>
          <w:tcPr>
            <w:tcW w:w="2835" w:type="dxa"/>
            <w:vAlign w:val="center"/>
          </w:tcPr>
          <w:p w14:paraId="0F1D5851" w14:textId="77777777" w:rsidR="00C16F43" w:rsidRDefault="00FD42D2">
            <w:pPr>
              <w:jc w:val="left"/>
            </w:pPr>
            <w:r>
              <w:t>Full name:</w:t>
            </w:r>
          </w:p>
        </w:tc>
        <w:tc>
          <w:tcPr>
            <w:tcW w:w="5954" w:type="dxa"/>
            <w:vAlign w:val="center"/>
          </w:tcPr>
          <w:p w14:paraId="73D1E0F5" w14:textId="750EB730" w:rsidR="00C16F43" w:rsidRDefault="00C16F43">
            <w:pPr>
              <w:jc w:val="left"/>
            </w:pPr>
          </w:p>
        </w:tc>
      </w:tr>
      <w:tr w:rsidR="00C16F43" w14:paraId="3CEE541B" w14:textId="77777777">
        <w:tc>
          <w:tcPr>
            <w:tcW w:w="2835" w:type="dxa"/>
            <w:vAlign w:val="center"/>
          </w:tcPr>
          <w:p w14:paraId="5CF33AF8" w14:textId="77777777" w:rsidR="00C16F43" w:rsidRDefault="00FD42D2">
            <w:pPr>
              <w:jc w:val="left"/>
            </w:pPr>
            <w:r>
              <w:t>Job title:</w:t>
            </w:r>
          </w:p>
        </w:tc>
        <w:tc>
          <w:tcPr>
            <w:tcW w:w="5954" w:type="dxa"/>
            <w:vAlign w:val="center"/>
          </w:tcPr>
          <w:p w14:paraId="7A2A1ED9" w14:textId="194E7DCD" w:rsidR="00C16F43" w:rsidRDefault="00C16F43">
            <w:pPr>
              <w:jc w:val="left"/>
            </w:pPr>
          </w:p>
        </w:tc>
      </w:tr>
      <w:tr w:rsidR="00C16F43" w14:paraId="6BEDE69E" w14:textId="77777777">
        <w:tc>
          <w:tcPr>
            <w:tcW w:w="2835" w:type="dxa"/>
            <w:vAlign w:val="center"/>
          </w:tcPr>
          <w:p w14:paraId="1E1D7198" w14:textId="77777777" w:rsidR="00C16F43" w:rsidRDefault="00FD42D2">
            <w:pPr>
              <w:jc w:val="left"/>
            </w:pPr>
            <w:r>
              <w:t>Email:</w:t>
            </w:r>
          </w:p>
        </w:tc>
        <w:tc>
          <w:tcPr>
            <w:tcW w:w="5954" w:type="dxa"/>
            <w:vAlign w:val="center"/>
          </w:tcPr>
          <w:p w14:paraId="6A9B8944" w14:textId="5096AA17" w:rsidR="00C16F43" w:rsidRDefault="00C16F43">
            <w:pPr>
              <w:jc w:val="left"/>
            </w:pPr>
          </w:p>
        </w:tc>
      </w:tr>
      <w:tr w:rsidR="00C16F43" w14:paraId="47585FC4" w14:textId="77777777">
        <w:tc>
          <w:tcPr>
            <w:tcW w:w="2835" w:type="dxa"/>
            <w:vAlign w:val="center"/>
          </w:tcPr>
          <w:p w14:paraId="20B53156" w14:textId="77777777" w:rsidR="00C16F43" w:rsidRDefault="00FD42D2">
            <w:pPr>
              <w:jc w:val="left"/>
            </w:pPr>
            <w:r>
              <w:t>Phone number(s):</w:t>
            </w:r>
          </w:p>
        </w:tc>
        <w:tc>
          <w:tcPr>
            <w:tcW w:w="5954" w:type="dxa"/>
            <w:vAlign w:val="center"/>
          </w:tcPr>
          <w:p w14:paraId="62328655" w14:textId="3F0825B9" w:rsidR="00C16F43" w:rsidRDefault="00C16F43">
            <w:pPr>
              <w:jc w:val="left"/>
            </w:pPr>
          </w:p>
        </w:tc>
      </w:tr>
      <w:tr w:rsidR="00C16F43" w14:paraId="1ADB6C65" w14:textId="77777777">
        <w:tc>
          <w:tcPr>
            <w:tcW w:w="2835" w:type="dxa"/>
            <w:vAlign w:val="center"/>
          </w:tcPr>
          <w:p w14:paraId="245EC9D5" w14:textId="77777777" w:rsidR="00C16F43" w:rsidRDefault="00FD42D2">
            <w:pPr>
              <w:jc w:val="left"/>
            </w:pPr>
            <w:r>
              <w:t>Responsibilities:</w:t>
            </w:r>
          </w:p>
        </w:tc>
        <w:tc>
          <w:tcPr>
            <w:tcW w:w="5954" w:type="dxa"/>
            <w:vAlign w:val="center"/>
          </w:tcPr>
          <w:p w14:paraId="6371ABDF" w14:textId="369BFD3A" w:rsidR="00C16F43" w:rsidRDefault="00C16F43">
            <w:pPr>
              <w:jc w:val="left"/>
            </w:pPr>
          </w:p>
        </w:tc>
      </w:tr>
    </w:tbl>
    <w:p w14:paraId="6EDA251F" w14:textId="77777777" w:rsidR="00C16F43" w:rsidRDefault="00C16F43">
      <w:pPr>
        <w:spacing w:before="240" w:after="240"/>
      </w:pPr>
    </w:p>
    <w:tbl>
      <w:tblPr>
        <w:tblStyle w:val="a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C16F43" w14:paraId="1E80519D" w14:textId="77777777">
        <w:tc>
          <w:tcPr>
            <w:tcW w:w="2835" w:type="dxa"/>
            <w:vAlign w:val="center"/>
          </w:tcPr>
          <w:p w14:paraId="41CF0C93" w14:textId="77777777" w:rsidR="00C16F43" w:rsidRDefault="00FD42D2">
            <w:pPr>
              <w:jc w:val="left"/>
            </w:pPr>
            <w:r>
              <w:t>Full name:</w:t>
            </w:r>
          </w:p>
        </w:tc>
        <w:tc>
          <w:tcPr>
            <w:tcW w:w="5954" w:type="dxa"/>
            <w:vAlign w:val="center"/>
          </w:tcPr>
          <w:p w14:paraId="3F22360C" w14:textId="1C7B4941" w:rsidR="00C16F43" w:rsidRDefault="00C16F43">
            <w:pPr>
              <w:jc w:val="left"/>
            </w:pPr>
          </w:p>
        </w:tc>
      </w:tr>
      <w:tr w:rsidR="00C16F43" w14:paraId="0C5B7CE5" w14:textId="77777777">
        <w:tc>
          <w:tcPr>
            <w:tcW w:w="2835" w:type="dxa"/>
            <w:vAlign w:val="center"/>
          </w:tcPr>
          <w:p w14:paraId="3BC7B30D" w14:textId="77777777" w:rsidR="00C16F43" w:rsidRDefault="00FD42D2">
            <w:pPr>
              <w:jc w:val="left"/>
            </w:pPr>
            <w:r>
              <w:t>Job title:</w:t>
            </w:r>
          </w:p>
        </w:tc>
        <w:tc>
          <w:tcPr>
            <w:tcW w:w="5954" w:type="dxa"/>
            <w:vAlign w:val="center"/>
          </w:tcPr>
          <w:p w14:paraId="772CCA58" w14:textId="77777777" w:rsidR="00C16F43" w:rsidRDefault="00FD42D2">
            <w:pPr>
              <w:jc w:val="left"/>
            </w:pPr>
            <w:r>
              <w:t>headmaster</w:t>
            </w:r>
          </w:p>
        </w:tc>
      </w:tr>
      <w:tr w:rsidR="00C16F43" w14:paraId="6E0AE6C3" w14:textId="77777777">
        <w:tc>
          <w:tcPr>
            <w:tcW w:w="2835" w:type="dxa"/>
            <w:vAlign w:val="center"/>
          </w:tcPr>
          <w:p w14:paraId="2CD31876" w14:textId="77777777" w:rsidR="00C16F43" w:rsidRDefault="00FD42D2">
            <w:pPr>
              <w:jc w:val="left"/>
            </w:pPr>
            <w:r>
              <w:t>Email:</w:t>
            </w:r>
          </w:p>
        </w:tc>
        <w:tc>
          <w:tcPr>
            <w:tcW w:w="5954" w:type="dxa"/>
            <w:vAlign w:val="center"/>
          </w:tcPr>
          <w:p w14:paraId="395E3458" w14:textId="40B60E97" w:rsidR="00C16F43" w:rsidRDefault="00C16F43">
            <w:pPr>
              <w:jc w:val="left"/>
            </w:pPr>
          </w:p>
        </w:tc>
      </w:tr>
      <w:tr w:rsidR="00C16F43" w14:paraId="05C52596" w14:textId="77777777">
        <w:tc>
          <w:tcPr>
            <w:tcW w:w="2835" w:type="dxa"/>
            <w:vAlign w:val="center"/>
          </w:tcPr>
          <w:p w14:paraId="3343BC07" w14:textId="77777777" w:rsidR="00C16F43" w:rsidRDefault="00FD42D2">
            <w:pPr>
              <w:jc w:val="left"/>
            </w:pPr>
            <w:r>
              <w:t>Phone number(s):</w:t>
            </w:r>
          </w:p>
        </w:tc>
        <w:tc>
          <w:tcPr>
            <w:tcW w:w="5954" w:type="dxa"/>
            <w:vAlign w:val="center"/>
          </w:tcPr>
          <w:p w14:paraId="489135AE" w14:textId="235A97BD" w:rsidR="00C16F43" w:rsidRDefault="00C16F43">
            <w:pPr>
              <w:jc w:val="left"/>
            </w:pPr>
          </w:p>
        </w:tc>
      </w:tr>
      <w:tr w:rsidR="00C16F43" w14:paraId="1B08E2F2" w14:textId="77777777">
        <w:tc>
          <w:tcPr>
            <w:tcW w:w="2835" w:type="dxa"/>
            <w:vAlign w:val="center"/>
          </w:tcPr>
          <w:p w14:paraId="773FA901" w14:textId="77777777" w:rsidR="00C16F43" w:rsidRDefault="00FD42D2">
            <w:pPr>
              <w:jc w:val="left"/>
            </w:pPr>
            <w:r>
              <w:t>Responsibilities:</w:t>
            </w:r>
          </w:p>
        </w:tc>
        <w:tc>
          <w:tcPr>
            <w:tcW w:w="5954" w:type="dxa"/>
            <w:vAlign w:val="center"/>
          </w:tcPr>
          <w:p w14:paraId="6043906F" w14:textId="657C022D" w:rsidR="00C16F43" w:rsidRDefault="00C16F43">
            <w:pPr>
              <w:jc w:val="left"/>
            </w:pPr>
          </w:p>
        </w:tc>
      </w:tr>
    </w:tbl>
    <w:p w14:paraId="3EF7119D" w14:textId="77777777" w:rsidR="00C16F43" w:rsidRDefault="00C16F43">
      <w:pPr>
        <w:spacing w:before="240"/>
      </w:pPr>
    </w:p>
    <w:p w14:paraId="276B9A9D" w14:textId="77777777" w:rsidR="00C16F43" w:rsidRDefault="00FD42D2">
      <w:pPr>
        <w:pStyle w:val="Naslov2"/>
        <w:numPr>
          <w:ilvl w:val="1"/>
          <w:numId w:val="3"/>
        </w:numPr>
      </w:pPr>
      <w:r>
        <w:t>Responsible persons at the sending organisation</w:t>
      </w:r>
    </w:p>
    <w:p w14:paraId="6617460F" w14:textId="77777777" w:rsidR="00C16F43" w:rsidRDefault="00FD42D2">
      <w:pPr>
        <w:spacing w:before="240" w:after="240"/>
      </w:pPr>
      <w:r>
        <w:t>The following person(s) at the sending organisation are tasked with following the participants’ progress and providing content or practical support from the side of the sending organisation.</w:t>
      </w:r>
    </w:p>
    <w:tbl>
      <w:tblPr>
        <w:tblStyle w:val="af7"/>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C16F43" w14:paraId="2807474E" w14:textId="77777777">
        <w:tc>
          <w:tcPr>
            <w:tcW w:w="2835" w:type="dxa"/>
            <w:vAlign w:val="center"/>
          </w:tcPr>
          <w:p w14:paraId="25E7A32A" w14:textId="77777777" w:rsidR="00C16F43" w:rsidRDefault="00FD42D2">
            <w:pPr>
              <w:pBdr>
                <w:top w:val="nil"/>
                <w:left w:val="nil"/>
                <w:bottom w:val="nil"/>
                <w:right w:val="nil"/>
                <w:between w:val="nil"/>
              </w:pBdr>
              <w:jc w:val="left"/>
            </w:pPr>
            <w:r>
              <w:t>Full name:</w:t>
            </w:r>
          </w:p>
        </w:tc>
        <w:tc>
          <w:tcPr>
            <w:tcW w:w="5954" w:type="dxa"/>
            <w:vAlign w:val="center"/>
          </w:tcPr>
          <w:p w14:paraId="426B4372" w14:textId="616C745A" w:rsidR="00C16F43" w:rsidRDefault="00C16F43">
            <w:pPr>
              <w:jc w:val="left"/>
            </w:pPr>
          </w:p>
        </w:tc>
      </w:tr>
      <w:tr w:rsidR="00C16F43" w14:paraId="6EF3C5B5" w14:textId="77777777">
        <w:tc>
          <w:tcPr>
            <w:tcW w:w="2835" w:type="dxa"/>
            <w:vAlign w:val="center"/>
          </w:tcPr>
          <w:p w14:paraId="3A473B7A" w14:textId="77777777" w:rsidR="00C16F43" w:rsidRDefault="00FD42D2">
            <w:pPr>
              <w:pBdr>
                <w:top w:val="nil"/>
                <w:left w:val="nil"/>
                <w:bottom w:val="nil"/>
                <w:right w:val="nil"/>
                <w:between w:val="nil"/>
              </w:pBdr>
              <w:jc w:val="left"/>
            </w:pPr>
            <w:r>
              <w:t>Job title:</w:t>
            </w:r>
          </w:p>
        </w:tc>
        <w:tc>
          <w:tcPr>
            <w:tcW w:w="5954" w:type="dxa"/>
            <w:vAlign w:val="center"/>
          </w:tcPr>
          <w:p w14:paraId="59C17D61" w14:textId="18B89224" w:rsidR="00C16F43" w:rsidRDefault="00C16F43">
            <w:pPr>
              <w:jc w:val="left"/>
            </w:pPr>
          </w:p>
        </w:tc>
      </w:tr>
      <w:tr w:rsidR="00C16F43" w14:paraId="048816A1" w14:textId="77777777">
        <w:tc>
          <w:tcPr>
            <w:tcW w:w="2835" w:type="dxa"/>
            <w:vAlign w:val="center"/>
          </w:tcPr>
          <w:p w14:paraId="18F497EF" w14:textId="77777777" w:rsidR="00C16F43" w:rsidRDefault="00FD42D2">
            <w:pPr>
              <w:pBdr>
                <w:top w:val="nil"/>
                <w:left w:val="nil"/>
                <w:bottom w:val="nil"/>
                <w:right w:val="nil"/>
                <w:between w:val="nil"/>
              </w:pBdr>
              <w:jc w:val="left"/>
            </w:pPr>
            <w:r>
              <w:t>Email:</w:t>
            </w:r>
          </w:p>
        </w:tc>
        <w:tc>
          <w:tcPr>
            <w:tcW w:w="5954" w:type="dxa"/>
            <w:vAlign w:val="center"/>
          </w:tcPr>
          <w:p w14:paraId="7A7563F1" w14:textId="7BCB22B3" w:rsidR="00C16F43" w:rsidRDefault="00C16F43">
            <w:pPr>
              <w:jc w:val="left"/>
            </w:pPr>
          </w:p>
        </w:tc>
      </w:tr>
      <w:tr w:rsidR="00C16F43" w14:paraId="36934071" w14:textId="77777777">
        <w:tc>
          <w:tcPr>
            <w:tcW w:w="2835" w:type="dxa"/>
            <w:vAlign w:val="center"/>
          </w:tcPr>
          <w:p w14:paraId="73D8DE8D" w14:textId="77777777" w:rsidR="00C16F43" w:rsidRDefault="00FD42D2">
            <w:pPr>
              <w:pBdr>
                <w:top w:val="nil"/>
                <w:left w:val="nil"/>
                <w:bottom w:val="nil"/>
                <w:right w:val="nil"/>
                <w:between w:val="nil"/>
              </w:pBdr>
              <w:jc w:val="left"/>
            </w:pPr>
            <w:r>
              <w:t>Phone number(s):</w:t>
            </w:r>
          </w:p>
        </w:tc>
        <w:tc>
          <w:tcPr>
            <w:tcW w:w="5954" w:type="dxa"/>
            <w:vAlign w:val="center"/>
          </w:tcPr>
          <w:p w14:paraId="61DEACAC" w14:textId="3AFF3300" w:rsidR="00C16F43" w:rsidRDefault="00C16F43">
            <w:pPr>
              <w:jc w:val="left"/>
            </w:pPr>
          </w:p>
        </w:tc>
      </w:tr>
      <w:tr w:rsidR="00C16F43" w14:paraId="4745A2F4" w14:textId="77777777">
        <w:tc>
          <w:tcPr>
            <w:tcW w:w="2835" w:type="dxa"/>
            <w:vAlign w:val="center"/>
          </w:tcPr>
          <w:p w14:paraId="4A1BEF7D" w14:textId="77777777" w:rsidR="00C16F43" w:rsidRDefault="00FD42D2">
            <w:pPr>
              <w:pBdr>
                <w:top w:val="nil"/>
                <w:left w:val="nil"/>
                <w:bottom w:val="nil"/>
                <w:right w:val="nil"/>
                <w:between w:val="nil"/>
              </w:pBdr>
              <w:jc w:val="left"/>
            </w:pPr>
            <w:r>
              <w:t>Responsibilities:</w:t>
            </w:r>
          </w:p>
        </w:tc>
        <w:tc>
          <w:tcPr>
            <w:tcW w:w="5954" w:type="dxa"/>
            <w:vAlign w:val="center"/>
          </w:tcPr>
          <w:p w14:paraId="2CBF7058" w14:textId="6B545825" w:rsidR="00C16F43" w:rsidRDefault="00C16F43">
            <w:pPr>
              <w:jc w:val="left"/>
            </w:pPr>
          </w:p>
        </w:tc>
      </w:tr>
    </w:tbl>
    <w:p w14:paraId="55895351" w14:textId="77777777" w:rsidR="00C16F43" w:rsidRDefault="00C16F43">
      <w:pPr>
        <w:spacing w:before="240"/>
      </w:pPr>
    </w:p>
    <w:p w14:paraId="104E1AC1" w14:textId="77777777" w:rsidR="00C16F43" w:rsidRDefault="00FD42D2">
      <w:pPr>
        <w:pStyle w:val="Naslov2"/>
        <w:numPr>
          <w:ilvl w:val="1"/>
          <w:numId w:val="3"/>
        </w:numPr>
      </w:pPr>
      <w:r>
        <w:t xml:space="preserve">Accompanying persons: </w:t>
      </w:r>
    </w:p>
    <w:p w14:paraId="1F6506CD" w14:textId="77777777" w:rsidR="00C16F43" w:rsidRDefault="00FD42D2">
      <w:pPr>
        <w:pStyle w:val="Naslov2"/>
        <w:numPr>
          <w:ilvl w:val="1"/>
          <w:numId w:val="3"/>
        </w:numPr>
      </w:pPr>
      <w:r>
        <w:t>n/a</w:t>
      </w:r>
    </w:p>
    <w:p w14:paraId="01C2B228" w14:textId="77777777" w:rsidR="00C16F43" w:rsidRDefault="00C16F43">
      <w:pPr>
        <w:pStyle w:val="Naslov2"/>
        <w:numPr>
          <w:ilvl w:val="1"/>
          <w:numId w:val="3"/>
        </w:numPr>
      </w:pPr>
    </w:p>
    <w:p w14:paraId="2539472E" w14:textId="77777777" w:rsidR="00C16F43" w:rsidRDefault="00FD42D2">
      <w:pPr>
        <w:pBdr>
          <w:top w:val="nil"/>
          <w:left w:val="nil"/>
          <w:bottom w:val="nil"/>
          <w:right w:val="nil"/>
          <w:between w:val="nil"/>
        </w:pBdr>
        <w:spacing w:after="120"/>
      </w:pPr>
      <w:r>
        <w:t>As a minimum, the monitoring and mentoring arrangements will include the following activities:</w:t>
      </w:r>
    </w:p>
    <w:p w14:paraId="216C6E5B" w14:textId="77777777" w:rsidR="00C16F43" w:rsidRDefault="00FD42D2">
      <w:pPr>
        <w:pBdr>
          <w:top w:val="nil"/>
          <w:left w:val="nil"/>
          <w:bottom w:val="nil"/>
          <w:right w:val="nil"/>
          <w:between w:val="nil"/>
        </w:pBdr>
        <w:spacing w:after="120"/>
      </w:pPr>
      <w:r>
        <w:t>Monitoring and mentoring arrangements for this program will include the following activities:</w:t>
      </w:r>
    </w:p>
    <w:p w14:paraId="57D25DD7" w14:textId="77777777" w:rsidR="00C16F43" w:rsidRDefault="00C16F43">
      <w:pPr>
        <w:pBdr>
          <w:top w:val="nil"/>
          <w:left w:val="nil"/>
          <w:bottom w:val="nil"/>
          <w:right w:val="nil"/>
          <w:between w:val="nil"/>
        </w:pBdr>
        <w:spacing w:after="120"/>
      </w:pPr>
    </w:p>
    <w:p w14:paraId="3C66F791" w14:textId="77777777" w:rsidR="00C16F43" w:rsidRDefault="00FD42D2">
      <w:pPr>
        <w:pBdr>
          <w:top w:val="nil"/>
          <w:left w:val="nil"/>
          <w:bottom w:val="nil"/>
          <w:right w:val="nil"/>
          <w:between w:val="nil"/>
        </w:pBdr>
        <w:spacing w:after="120"/>
      </w:pPr>
      <w:r>
        <w:t>1. Scheduled Dialogues: Regular one-on-one meetings between the participant and their assigned mentor to discuss progress, challenges, and goals.</w:t>
      </w:r>
    </w:p>
    <w:p w14:paraId="5534562F" w14:textId="77777777" w:rsidR="00C16F43" w:rsidRDefault="00C16F43">
      <w:pPr>
        <w:pBdr>
          <w:top w:val="nil"/>
          <w:left w:val="nil"/>
          <w:bottom w:val="nil"/>
          <w:right w:val="nil"/>
          <w:between w:val="nil"/>
        </w:pBdr>
        <w:spacing w:after="120"/>
      </w:pPr>
    </w:p>
    <w:p w14:paraId="53DB211D" w14:textId="77777777" w:rsidR="00C16F43" w:rsidRDefault="00FD42D2">
      <w:pPr>
        <w:pBdr>
          <w:top w:val="nil"/>
          <w:left w:val="nil"/>
          <w:bottom w:val="nil"/>
          <w:right w:val="nil"/>
          <w:between w:val="nil"/>
        </w:pBdr>
        <w:spacing w:after="120"/>
      </w:pPr>
      <w:r>
        <w:t>2. Periodical Reviews: Periodic reviews of the participant's learning outcomes and completed tasks to ensure alignment with the program objectives.</w:t>
      </w:r>
    </w:p>
    <w:p w14:paraId="18923FC9" w14:textId="77777777" w:rsidR="00C16F43" w:rsidRDefault="00C16F43">
      <w:pPr>
        <w:pBdr>
          <w:top w:val="nil"/>
          <w:left w:val="nil"/>
          <w:bottom w:val="nil"/>
          <w:right w:val="nil"/>
          <w:between w:val="nil"/>
        </w:pBdr>
        <w:spacing w:after="120"/>
      </w:pPr>
    </w:p>
    <w:p w14:paraId="3DA5CB3A" w14:textId="77777777" w:rsidR="00C16F43" w:rsidRDefault="00FD42D2">
      <w:pPr>
        <w:pBdr>
          <w:top w:val="nil"/>
          <w:left w:val="nil"/>
          <w:bottom w:val="nil"/>
          <w:right w:val="nil"/>
          <w:between w:val="nil"/>
        </w:pBdr>
        <w:spacing w:after="120"/>
      </w:pPr>
      <w:r>
        <w:t>3. Consultations between Mentors: Coordination and consultations between mentors at the hosting and sending organisations to provide comprehensive guidance and support.</w:t>
      </w:r>
    </w:p>
    <w:p w14:paraId="1C72354E" w14:textId="77777777" w:rsidR="00C16F43" w:rsidRDefault="00C16F43">
      <w:pPr>
        <w:pBdr>
          <w:top w:val="nil"/>
          <w:left w:val="nil"/>
          <w:bottom w:val="nil"/>
          <w:right w:val="nil"/>
          <w:between w:val="nil"/>
        </w:pBdr>
        <w:spacing w:after="120"/>
      </w:pPr>
    </w:p>
    <w:p w14:paraId="6473C4E1" w14:textId="77777777" w:rsidR="00C16F43" w:rsidRDefault="00FD42D2">
      <w:pPr>
        <w:pBdr>
          <w:top w:val="nil"/>
          <w:left w:val="nil"/>
          <w:bottom w:val="nil"/>
          <w:right w:val="nil"/>
          <w:between w:val="nil"/>
        </w:pBdr>
        <w:spacing w:after="120"/>
      </w:pPr>
      <w:r>
        <w:t>4. Performance Evaluation: Ongoing assessment of the participant's performance, including feedback on specific activities and tasks.</w:t>
      </w:r>
    </w:p>
    <w:p w14:paraId="4854D9E2" w14:textId="77777777" w:rsidR="00C16F43" w:rsidRDefault="00C16F43">
      <w:pPr>
        <w:pBdr>
          <w:top w:val="nil"/>
          <w:left w:val="nil"/>
          <w:bottom w:val="nil"/>
          <w:right w:val="nil"/>
          <w:between w:val="nil"/>
        </w:pBdr>
        <w:spacing w:after="120"/>
      </w:pPr>
    </w:p>
    <w:p w14:paraId="7A378D63" w14:textId="77777777" w:rsidR="00C16F43" w:rsidRDefault="00FD42D2">
      <w:pPr>
        <w:pBdr>
          <w:top w:val="nil"/>
          <w:left w:val="nil"/>
          <w:bottom w:val="nil"/>
          <w:right w:val="nil"/>
          <w:between w:val="nil"/>
        </w:pBdr>
        <w:spacing w:after="120"/>
      </w:pPr>
      <w:r>
        <w:t>5. Feedback Sessions: Structured feedback sessions to address questions, concerns, and opportunities for improvement.</w:t>
      </w:r>
    </w:p>
    <w:p w14:paraId="40380A72" w14:textId="77777777" w:rsidR="00C16F43" w:rsidRDefault="00C16F43">
      <w:pPr>
        <w:pBdr>
          <w:top w:val="nil"/>
          <w:left w:val="nil"/>
          <w:bottom w:val="nil"/>
          <w:right w:val="nil"/>
          <w:between w:val="nil"/>
        </w:pBdr>
        <w:spacing w:after="120"/>
      </w:pPr>
    </w:p>
    <w:p w14:paraId="40F59E71" w14:textId="77777777" w:rsidR="00C16F43" w:rsidRDefault="00FD42D2">
      <w:pPr>
        <w:pBdr>
          <w:top w:val="nil"/>
          <w:left w:val="nil"/>
          <w:bottom w:val="nil"/>
          <w:right w:val="nil"/>
          <w:between w:val="nil"/>
        </w:pBdr>
        <w:spacing w:after="120"/>
      </w:pPr>
      <w:r>
        <w:t>6. Goal Setting: Collaborative goal setting to define clear objectives and milestones for the participant's mobility experience.</w:t>
      </w:r>
    </w:p>
    <w:p w14:paraId="29CC2587" w14:textId="77777777" w:rsidR="00C16F43" w:rsidRDefault="00C16F43">
      <w:pPr>
        <w:pBdr>
          <w:top w:val="nil"/>
          <w:left w:val="nil"/>
          <w:bottom w:val="nil"/>
          <w:right w:val="nil"/>
          <w:between w:val="nil"/>
        </w:pBdr>
        <w:spacing w:after="120"/>
      </w:pPr>
    </w:p>
    <w:p w14:paraId="17C862AB" w14:textId="77777777" w:rsidR="00C16F43" w:rsidRDefault="00FD42D2">
      <w:pPr>
        <w:pBdr>
          <w:top w:val="nil"/>
          <w:left w:val="nil"/>
          <w:bottom w:val="nil"/>
          <w:right w:val="nil"/>
          <w:between w:val="nil"/>
        </w:pBdr>
        <w:spacing w:after="120"/>
      </w:pPr>
      <w:r>
        <w:t>7. Skill Development Plans: Development and tracking of individualised skill development plans to address areas of improvement and capitalise on strengths.</w:t>
      </w:r>
    </w:p>
    <w:p w14:paraId="7D7DFD8E" w14:textId="77777777" w:rsidR="00C16F43" w:rsidRDefault="00C16F43">
      <w:pPr>
        <w:pBdr>
          <w:top w:val="nil"/>
          <w:left w:val="nil"/>
          <w:bottom w:val="nil"/>
          <w:right w:val="nil"/>
          <w:between w:val="nil"/>
        </w:pBdr>
        <w:spacing w:after="120"/>
      </w:pPr>
    </w:p>
    <w:p w14:paraId="65751CB5" w14:textId="77777777" w:rsidR="00C16F43" w:rsidRDefault="00FD42D2">
      <w:pPr>
        <w:pBdr>
          <w:top w:val="nil"/>
          <w:left w:val="nil"/>
          <w:bottom w:val="nil"/>
          <w:right w:val="nil"/>
          <w:between w:val="nil"/>
        </w:pBdr>
        <w:spacing w:after="120"/>
      </w:pPr>
      <w:r>
        <w:t>8. Cultural Integration Support: Guidance and support for cultural integration and adaptation to the host environment.</w:t>
      </w:r>
    </w:p>
    <w:p w14:paraId="58DB29CA" w14:textId="77777777" w:rsidR="00C16F43" w:rsidRDefault="00C16F43">
      <w:pPr>
        <w:pBdr>
          <w:top w:val="nil"/>
          <w:left w:val="nil"/>
          <w:bottom w:val="nil"/>
          <w:right w:val="nil"/>
          <w:between w:val="nil"/>
        </w:pBdr>
        <w:spacing w:after="120"/>
      </w:pPr>
    </w:p>
    <w:p w14:paraId="6ADF02A5" w14:textId="77777777" w:rsidR="00C16F43" w:rsidRDefault="00FD42D2">
      <w:pPr>
        <w:pBdr>
          <w:top w:val="nil"/>
          <w:left w:val="nil"/>
          <w:bottom w:val="nil"/>
          <w:right w:val="nil"/>
          <w:between w:val="nil"/>
        </w:pBdr>
        <w:spacing w:after="120"/>
      </w:pPr>
      <w:r>
        <w:t>9. Resource Sharing: Sharing of relevant resources, materials, and best practices to enhance the participant's learning experience.</w:t>
      </w:r>
    </w:p>
    <w:p w14:paraId="08757319" w14:textId="77777777" w:rsidR="00C16F43" w:rsidRDefault="00C16F43">
      <w:pPr>
        <w:pBdr>
          <w:top w:val="nil"/>
          <w:left w:val="nil"/>
          <w:bottom w:val="nil"/>
          <w:right w:val="nil"/>
          <w:between w:val="nil"/>
        </w:pBdr>
        <w:spacing w:after="120"/>
      </w:pPr>
    </w:p>
    <w:p w14:paraId="1CCD4300" w14:textId="77777777" w:rsidR="00C16F43" w:rsidRDefault="00FD42D2">
      <w:pPr>
        <w:pBdr>
          <w:top w:val="nil"/>
          <w:left w:val="nil"/>
          <w:bottom w:val="nil"/>
          <w:right w:val="nil"/>
          <w:between w:val="nil"/>
        </w:pBdr>
        <w:spacing w:after="120"/>
      </w:pPr>
      <w:r>
        <w:t>10. Emergency Contact: Establishing an emergency contact and communication protocol for any unforeseen issues or emergencies during the mobility.</w:t>
      </w:r>
    </w:p>
    <w:p w14:paraId="09902454" w14:textId="77777777" w:rsidR="00C16F43" w:rsidRDefault="00C16F43">
      <w:pPr>
        <w:pBdr>
          <w:top w:val="nil"/>
          <w:left w:val="nil"/>
          <w:bottom w:val="nil"/>
          <w:right w:val="nil"/>
          <w:between w:val="nil"/>
        </w:pBdr>
        <w:spacing w:after="120"/>
      </w:pPr>
    </w:p>
    <w:p w14:paraId="79CE6F5F" w14:textId="77777777" w:rsidR="00C16F43" w:rsidRDefault="00FD42D2">
      <w:pPr>
        <w:pBdr>
          <w:top w:val="nil"/>
          <w:left w:val="nil"/>
          <w:bottom w:val="nil"/>
          <w:right w:val="nil"/>
          <w:between w:val="nil"/>
        </w:pBdr>
        <w:spacing w:after="120"/>
      </w:pPr>
      <w:r>
        <w:t>These monitoring and mentoring activities are designed to ensure the participant's success, provide them with the necessary support, and help them achieve the intended learning outcomes of the program.</w:t>
      </w:r>
    </w:p>
    <w:p w14:paraId="7F938CF0" w14:textId="77777777" w:rsidR="00C16F43" w:rsidRDefault="00FD42D2">
      <w:pPr>
        <w:pStyle w:val="Naslov1"/>
        <w:numPr>
          <w:ilvl w:val="0"/>
          <w:numId w:val="3"/>
        </w:numPr>
      </w:pPr>
      <w:r>
        <w:t>Evaluation of learning outcomes</w:t>
      </w:r>
    </w:p>
    <w:p w14:paraId="5A92D5F0" w14:textId="77777777" w:rsidR="00C16F43" w:rsidRDefault="00FD42D2">
      <w:pPr>
        <w:spacing w:before="240" w:after="240"/>
      </w:pPr>
      <w:r>
        <w:t>After the mobility activity, the participant’s learning outcomes will be assessed in the following way:</w:t>
      </w:r>
    </w:p>
    <w:tbl>
      <w:tblPr>
        <w:tblStyle w:val="af8"/>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16F43" w14:paraId="2A264A8B" w14:textId="77777777">
        <w:tc>
          <w:tcPr>
            <w:tcW w:w="8789" w:type="dxa"/>
            <w:vAlign w:val="center"/>
          </w:tcPr>
          <w:p w14:paraId="4E2630AD" w14:textId="77777777" w:rsidR="00C16F43" w:rsidRDefault="00FD42D2">
            <w:pPr>
              <w:pBdr>
                <w:top w:val="nil"/>
                <w:left w:val="nil"/>
                <w:bottom w:val="nil"/>
                <w:right w:val="nil"/>
                <w:between w:val="nil"/>
              </w:pBdr>
              <w:jc w:val="left"/>
              <w:rPr>
                <w:b/>
              </w:rPr>
            </w:pPr>
            <w:r>
              <w:rPr>
                <w:b/>
              </w:rPr>
              <w:t>Evaluation format:</w:t>
            </w:r>
          </w:p>
        </w:tc>
      </w:tr>
      <w:tr w:rsidR="00C16F43" w14:paraId="053F73CF" w14:textId="77777777">
        <w:tc>
          <w:tcPr>
            <w:tcW w:w="8789" w:type="dxa"/>
            <w:vAlign w:val="center"/>
          </w:tcPr>
          <w:p w14:paraId="1A068D57" w14:textId="77777777" w:rsidR="00C16F43" w:rsidRDefault="00FD42D2">
            <w:pPr>
              <w:pBdr>
                <w:top w:val="nil"/>
                <w:left w:val="nil"/>
                <w:bottom w:val="nil"/>
                <w:right w:val="nil"/>
                <w:between w:val="nil"/>
              </w:pBdr>
              <w:jc w:val="left"/>
            </w:pPr>
            <w:r>
              <w:t>The participant's learning outcomes following the mobility activity will be assessed using the following evaluation formats:</w:t>
            </w:r>
          </w:p>
          <w:p w14:paraId="08690A17" w14:textId="77777777" w:rsidR="00C16F43" w:rsidRDefault="00C16F43">
            <w:pPr>
              <w:pBdr>
                <w:top w:val="nil"/>
                <w:left w:val="nil"/>
                <w:bottom w:val="nil"/>
                <w:right w:val="nil"/>
                <w:between w:val="nil"/>
              </w:pBdr>
              <w:jc w:val="left"/>
            </w:pPr>
          </w:p>
          <w:p w14:paraId="40B4D2C5" w14:textId="77777777" w:rsidR="00C16F43" w:rsidRDefault="00FD42D2">
            <w:pPr>
              <w:pBdr>
                <w:top w:val="nil"/>
                <w:left w:val="nil"/>
                <w:bottom w:val="nil"/>
                <w:right w:val="nil"/>
                <w:between w:val="nil"/>
              </w:pBdr>
              <w:jc w:val="left"/>
            </w:pPr>
            <w:r>
              <w:t xml:space="preserve">1. Structured Report: The participants will be required to submit a structured report summarising their experiences, achievements, and reflections during the mobility. This report will include a comprehensive analysis of the learning outcomes, the </w:t>
            </w:r>
            <w:r>
              <w:lastRenderedPageBreak/>
              <w:t>impact of the program on their personal and professional development, and their observations about the host environment.</w:t>
            </w:r>
          </w:p>
          <w:p w14:paraId="7406B52B" w14:textId="77777777" w:rsidR="00C16F43" w:rsidRDefault="00C16F43">
            <w:pPr>
              <w:pBdr>
                <w:top w:val="nil"/>
                <w:left w:val="nil"/>
                <w:bottom w:val="nil"/>
                <w:right w:val="nil"/>
                <w:between w:val="nil"/>
              </w:pBdr>
              <w:jc w:val="left"/>
            </w:pPr>
          </w:p>
          <w:p w14:paraId="40611826" w14:textId="77777777" w:rsidR="00C16F43" w:rsidRDefault="00FD42D2">
            <w:pPr>
              <w:pBdr>
                <w:top w:val="nil"/>
                <w:left w:val="nil"/>
                <w:bottom w:val="nil"/>
                <w:right w:val="nil"/>
                <w:between w:val="nil"/>
              </w:pBdr>
              <w:jc w:val="left"/>
            </w:pPr>
            <w:r>
              <w:t>2. Oral Presentation: The participants will deliver an oral presentation at a staff meeting to share their insights, key takeaways, and any projects or activities they worked on during the mobility. This presentation will be an opportunity for them to demonstrate their understanding and ability to articulate their experiences effectively.</w:t>
            </w:r>
          </w:p>
          <w:p w14:paraId="67E84870" w14:textId="77777777" w:rsidR="00C16F43" w:rsidRDefault="00C16F43">
            <w:pPr>
              <w:pBdr>
                <w:top w:val="nil"/>
                <w:left w:val="nil"/>
                <w:bottom w:val="nil"/>
                <w:right w:val="nil"/>
                <w:between w:val="nil"/>
              </w:pBdr>
              <w:jc w:val="left"/>
            </w:pPr>
          </w:p>
          <w:p w14:paraId="552FDA56" w14:textId="77777777" w:rsidR="00C16F43" w:rsidRDefault="00FD42D2">
            <w:pPr>
              <w:pBdr>
                <w:top w:val="nil"/>
                <w:left w:val="nil"/>
                <w:bottom w:val="nil"/>
                <w:right w:val="nil"/>
                <w:between w:val="nil"/>
              </w:pBdr>
              <w:jc w:val="left"/>
            </w:pPr>
            <w:r>
              <w:t>3. Portfolio Assessment: A portfolio will be compiled by the participants, showcasing their work, projects, or any creative outputs generated during the mobility. This will serve as tangible evidence of their learning outcomes and contributions.</w:t>
            </w:r>
          </w:p>
          <w:p w14:paraId="27D7F36E" w14:textId="77777777" w:rsidR="00C16F43" w:rsidRDefault="00C16F43">
            <w:pPr>
              <w:pBdr>
                <w:top w:val="nil"/>
                <w:left w:val="nil"/>
                <w:bottom w:val="nil"/>
                <w:right w:val="nil"/>
                <w:between w:val="nil"/>
              </w:pBdr>
              <w:jc w:val="left"/>
            </w:pPr>
          </w:p>
          <w:p w14:paraId="22A282CD" w14:textId="77777777" w:rsidR="00C16F43" w:rsidRDefault="00FD42D2">
            <w:pPr>
              <w:pBdr>
                <w:top w:val="nil"/>
                <w:left w:val="nil"/>
                <w:bottom w:val="nil"/>
                <w:right w:val="nil"/>
                <w:between w:val="nil"/>
              </w:pBdr>
              <w:jc w:val="left"/>
            </w:pPr>
            <w:r>
              <w:t>4. Continuous Assessment: Throughout the mobility, continuous assessment will be conducted by mentors and program coordinators. This will involve regular feedback sessions, progress checks, and periodic reviews of tasks and assignments completed by the participant.</w:t>
            </w:r>
          </w:p>
          <w:p w14:paraId="4F80C305" w14:textId="77777777" w:rsidR="00C16F43" w:rsidRDefault="00C16F43">
            <w:pPr>
              <w:pBdr>
                <w:top w:val="nil"/>
                <w:left w:val="nil"/>
                <w:bottom w:val="nil"/>
                <w:right w:val="nil"/>
                <w:between w:val="nil"/>
              </w:pBdr>
              <w:jc w:val="left"/>
            </w:pPr>
          </w:p>
          <w:p w14:paraId="19C67AC6" w14:textId="77777777" w:rsidR="00C16F43" w:rsidRDefault="00FD42D2">
            <w:pPr>
              <w:pBdr>
                <w:top w:val="nil"/>
                <w:left w:val="nil"/>
                <w:bottom w:val="nil"/>
                <w:right w:val="nil"/>
                <w:between w:val="nil"/>
              </w:pBdr>
              <w:jc w:val="left"/>
            </w:pPr>
            <w:r>
              <w:t>5. Peer and Mentor Feedback: The participants will receive feedback from their peers and mentors, both at the hosting and sending organisations. This feedback will provide valuable insights into their performance and the impact of their mobility experience.</w:t>
            </w:r>
          </w:p>
          <w:p w14:paraId="6E60BD3E" w14:textId="77777777" w:rsidR="00C16F43" w:rsidRDefault="00C16F43">
            <w:pPr>
              <w:pBdr>
                <w:top w:val="nil"/>
                <w:left w:val="nil"/>
                <w:bottom w:val="nil"/>
                <w:right w:val="nil"/>
                <w:between w:val="nil"/>
              </w:pBdr>
              <w:jc w:val="left"/>
            </w:pPr>
          </w:p>
          <w:p w14:paraId="1048E006" w14:textId="77777777" w:rsidR="00C16F43" w:rsidRDefault="00FD42D2">
            <w:pPr>
              <w:pBdr>
                <w:top w:val="nil"/>
                <w:left w:val="nil"/>
                <w:bottom w:val="nil"/>
                <w:right w:val="nil"/>
                <w:between w:val="nil"/>
              </w:pBdr>
              <w:jc w:val="left"/>
            </w:pPr>
            <w:r>
              <w:t>6. Self-Assessment Elements: The participants will engage in self-assessment, reflecting on their growth, challenges, and areas for improvement. Self-assessment elements may include written reflections or structured self-evaluation forms.</w:t>
            </w:r>
          </w:p>
          <w:p w14:paraId="56C6FA41" w14:textId="77777777" w:rsidR="00C16F43" w:rsidRDefault="00C16F43">
            <w:pPr>
              <w:pBdr>
                <w:top w:val="nil"/>
                <w:left w:val="nil"/>
                <w:bottom w:val="nil"/>
                <w:right w:val="nil"/>
                <w:between w:val="nil"/>
              </w:pBdr>
              <w:jc w:val="left"/>
            </w:pPr>
          </w:p>
          <w:p w14:paraId="2A7B72AC" w14:textId="77777777" w:rsidR="00C16F43" w:rsidRDefault="00FD42D2">
            <w:pPr>
              <w:pBdr>
                <w:top w:val="nil"/>
                <w:left w:val="nil"/>
                <w:bottom w:val="nil"/>
                <w:right w:val="nil"/>
                <w:between w:val="nil"/>
              </w:pBdr>
              <w:jc w:val="left"/>
            </w:pPr>
            <w:r>
              <w:t>7. **Practical Tasks:** Depending on the nature of the program, practical tasks or projects completed during the mobility will also be evaluated for their quality, creativity, and relevance to the learning outcomes.</w:t>
            </w:r>
          </w:p>
          <w:p w14:paraId="5CEAE8E7" w14:textId="77777777" w:rsidR="00C16F43" w:rsidRDefault="00C16F43">
            <w:pPr>
              <w:pBdr>
                <w:top w:val="nil"/>
                <w:left w:val="nil"/>
                <w:bottom w:val="nil"/>
                <w:right w:val="nil"/>
                <w:between w:val="nil"/>
              </w:pBdr>
              <w:jc w:val="left"/>
            </w:pPr>
          </w:p>
          <w:p w14:paraId="3AF5DD81" w14:textId="77777777" w:rsidR="00C16F43" w:rsidRDefault="00FD42D2">
            <w:pPr>
              <w:pBdr>
                <w:top w:val="nil"/>
                <w:left w:val="nil"/>
                <w:bottom w:val="nil"/>
                <w:right w:val="nil"/>
                <w:between w:val="nil"/>
              </w:pBdr>
              <w:jc w:val="left"/>
            </w:pPr>
            <w:r>
              <w:t>These evaluation formats are designed to comprehensively assess the participant's learning outcomes, offering a well-rounded view of their development and the effectiveness of the mobility program.</w:t>
            </w:r>
          </w:p>
        </w:tc>
      </w:tr>
    </w:tbl>
    <w:p w14:paraId="6E4A8CC9" w14:textId="77777777" w:rsidR="00C16F43" w:rsidRDefault="00C16F43">
      <w:pPr>
        <w:jc w:val="left"/>
        <w:rPr>
          <w:b/>
        </w:rPr>
      </w:pPr>
    </w:p>
    <w:tbl>
      <w:tblPr>
        <w:tblStyle w:val="af9"/>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16F43" w14:paraId="73CAE7A5" w14:textId="77777777">
        <w:tc>
          <w:tcPr>
            <w:tcW w:w="8789" w:type="dxa"/>
            <w:vAlign w:val="center"/>
          </w:tcPr>
          <w:p w14:paraId="3D07EAE3" w14:textId="77777777" w:rsidR="00C16F43" w:rsidRDefault="00FD42D2">
            <w:pPr>
              <w:pBdr>
                <w:top w:val="nil"/>
                <w:left w:val="nil"/>
                <w:bottom w:val="nil"/>
                <w:right w:val="nil"/>
                <w:between w:val="nil"/>
              </w:pBdr>
              <w:jc w:val="left"/>
              <w:rPr>
                <w:b/>
              </w:rPr>
            </w:pPr>
            <w:r>
              <w:rPr>
                <w:b/>
              </w:rPr>
              <w:t>Evaluation criteria:</w:t>
            </w:r>
          </w:p>
        </w:tc>
      </w:tr>
      <w:tr w:rsidR="00C16F43" w14:paraId="5B80E411" w14:textId="77777777">
        <w:tc>
          <w:tcPr>
            <w:tcW w:w="8789" w:type="dxa"/>
            <w:vAlign w:val="center"/>
          </w:tcPr>
          <w:p w14:paraId="4A259555" w14:textId="77777777" w:rsidR="00C16F43" w:rsidRDefault="00FD42D2">
            <w:pPr>
              <w:pBdr>
                <w:top w:val="nil"/>
                <w:left w:val="nil"/>
                <w:bottom w:val="nil"/>
                <w:right w:val="nil"/>
                <w:between w:val="nil"/>
              </w:pBdr>
              <w:jc w:val="left"/>
            </w:pPr>
            <w:r>
              <w:t>The evaluation of the participant's learning outcomes will be based on the following criteria:</w:t>
            </w:r>
          </w:p>
          <w:p w14:paraId="1EDEC967" w14:textId="77777777" w:rsidR="00C16F43" w:rsidRDefault="00C16F43">
            <w:pPr>
              <w:pBdr>
                <w:top w:val="nil"/>
                <w:left w:val="nil"/>
                <w:bottom w:val="nil"/>
                <w:right w:val="nil"/>
                <w:between w:val="nil"/>
              </w:pBdr>
              <w:jc w:val="left"/>
            </w:pPr>
          </w:p>
          <w:p w14:paraId="63E140FE" w14:textId="77777777" w:rsidR="00C16F43" w:rsidRDefault="00FD42D2">
            <w:pPr>
              <w:pBdr>
                <w:top w:val="nil"/>
                <w:left w:val="nil"/>
                <w:bottom w:val="nil"/>
                <w:right w:val="nil"/>
                <w:between w:val="nil"/>
              </w:pBdr>
              <w:jc w:val="left"/>
            </w:pPr>
            <w:r>
              <w:t xml:space="preserve">1. Knowledge Acquisition: </w:t>
            </w:r>
          </w:p>
          <w:p w14:paraId="5387428A" w14:textId="77777777" w:rsidR="00C16F43" w:rsidRDefault="00FD42D2">
            <w:pPr>
              <w:pBdr>
                <w:top w:val="nil"/>
                <w:left w:val="nil"/>
                <w:bottom w:val="nil"/>
                <w:right w:val="nil"/>
                <w:between w:val="nil"/>
              </w:pBdr>
              <w:jc w:val="left"/>
            </w:pPr>
            <w:r>
              <w:t xml:space="preserve">   - Demonstration of increased knowledge and understanding of the subject matter related to the mobility program.</w:t>
            </w:r>
          </w:p>
          <w:p w14:paraId="0710820D" w14:textId="77777777" w:rsidR="00C16F43" w:rsidRDefault="00C16F43">
            <w:pPr>
              <w:pBdr>
                <w:top w:val="nil"/>
                <w:left w:val="nil"/>
                <w:bottom w:val="nil"/>
                <w:right w:val="nil"/>
                <w:between w:val="nil"/>
              </w:pBdr>
              <w:jc w:val="left"/>
            </w:pPr>
          </w:p>
          <w:p w14:paraId="1F59DF00" w14:textId="77777777" w:rsidR="00C16F43" w:rsidRDefault="00FD42D2">
            <w:pPr>
              <w:pBdr>
                <w:top w:val="nil"/>
                <w:left w:val="nil"/>
                <w:bottom w:val="nil"/>
                <w:right w:val="nil"/>
                <w:between w:val="nil"/>
              </w:pBdr>
              <w:jc w:val="left"/>
            </w:pPr>
            <w:r>
              <w:t>2. Skill Development:</w:t>
            </w:r>
          </w:p>
          <w:p w14:paraId="55CCD844" w14:textId="77777777" w:rsidR="00C16F43" w:rsidRDefault="00FD42D2">
            <w:pPr>
              <w:pBdr>
                <w:top w:val="nil"/>
                <w:left w:val="nil"/>
                <w:bottom w:val="nil"/>
                <w:right w:val="nil"/>
                <w:between w:val="nil"/>
              </w:pBdr>
              <w:jc w:val="left"/>
            </w:pPr>
            <w:r>
              <w:t xml:space="preserve">   - Proficiency in applying newly acquired skills and competences.</w:t>
            </w:r>
          </w:p>
          <w:p w14:paraId="2E919DAB" w14:textId="77777777" w:rsidR="00C16F43" w:rsidRDefault="00FD42D2">
            <w:pPr>
              <w:pBdr>
                <w:top w:val="nil"/>
                <w:left w:val="nil"/>
                <w:bottom w:val="nil"/>
                <w:right w:val="nil"/>
                <w:between w:val="nil"/>
              </w:pBdr>
              <w:jc w:val="left"/>
            </w:pPr>
            <w:r>
              <w:t xml:space="preserve">   - Evidence of enhanced practical skills relevant to the program's objectives.</w:t>
            </w:r>
          </w:p>
          <w:p w14:paraId="235A715B" w14:textId="77777777" w:rsidR="00C16F43" w:rsidRDefault="00C16F43">
            <w:pPr>
              <w:pBdr>
                <w:top w:val="nil"/>
                <w:left w:val="nil"/>
                <w:bottom w:val="nil"/>
                <w:right w:val="nil"/>
                <w:between w:val="nil"/>
              </w:pBdr>
              <w:jc w:val="left"/>
            </w:pPr>
          </w:p>
          <w:p w14:paraId="5FBB676E" w14:textId="77777777" w:rsidR="00C16F43" w:rsidRDefault="00FD42D2">
            <w:pPr>
              <w:pBdr>
                <w:top w:val="nil"/>
                <w:left w:val="nil"/>
                <w:bottom w:val="nil"/>
                <w:right w:val="nil"/>
                <w:between w:val="nil"/>
              </w:pBdr>
              <w:jc w:val="left"/>
            </w:pPr>
            <w:r>
              <w:t>3. Critical Thinking and Problem-Solving:</w:t>
            </w:r>
          </w:p>
          <w:p w14:paraId="337BC9B8" w14:textId="77777777" w:rsidR="00C16F43" w:rsidRDefault="00FD42D2">
            <w:pPr>
              <w:pBdr>
                <w:top w:val="nil"/>
                <w:left w:val="nil"/>
                <w:bottom w:val="nil"/>
                <w:right w:val="nil"/>
                <w:between w:val="nil"/>
              </w:pBdr>
              <w:jc w:val="left"/>
            </w:pPr>
            <w:r>
              <w:t xml:space="preserve">   - Ability to analyse complex issues and propose innovative solutions.</w:t>
            </w:r>
          </w:p>
          <w:p w14:paraId="2EF65AC2" w14:textId="77777777" w:rsidR="00C16F43" w:rsidRDefault="00FD42D2">
            <w:pPr>
              <w:pBdr>
                <w:top w:val="nil"/>
                <w:left w:val="nil"/>
                <w:bottom w:val="nil"/>
                <w:right w:val="nil"/>
                <w:between w:val="nil"/>
              </w:pBdr>
              <w:jc w:val="left"/>
            </w:pPr>
            <w:r>
              <w:t xml:space="preserve">   - Demonstrated critical thinking skills in approaching challenges.</w:t>
            </w:r>
          </w:p>
          <w:p w14:paraId="3C047FD2" w14:textId="77777777" w:rsidR="00C16F43" w:rsidRDefault="00C16F43">
            <w:pPr>
              <w:pBdr>
                <w:top w:val="nil"/>
                <w:left w:val="nil"/>
                <w:bottom w:val="nil"/>
                <w:right w:val="nil"/>
                <w:between w:val="nil"/>
              </w:pBdr>
              <w:jc w:val="left"/>
            </w:pPr>
          </w:p>
          <w:p w14:paraId="13A86FBC" w14:textId="77777777" w:rsidR="00C16F43" w:rsidRDefault="00FD42D2">
            <w:pPr>
              <w:pBdr>
                <w:top w:val="nil"/>
                <w:left w:val="nil"/>
                <w:bottom w:val="nil"/>
                <w:right w:val="nil"/>
                <w:between w:val="nil"/>
              </w:pBdr>
              <w:jc w:val="left"/>
            </w:pPr>
            <w:r>
              <w:t>4. Interpersonal and Intercultural Competence:</w:t>
            </w:r>
          </w:p>
          <w:p w14:paraId="3FD34DF9" w14:textId="77777777" w:rsidR="00C16F43" w:rsidRDefault="00FD42D2">
            <w:pPr>
              <w:pBdr>
                <w:top w:val="nil"/>
                <w:left w:val="nil"/>
                <w:bottom w:val="nil"/>
                <w:right w:val="nil"/>
                <w:between w:val="nil"/>
              </w:pBdr>
              <w:jc w:val="left"/>
            </w:pPr>
            <w:r>
              <w:t xml:space="preserve">   - Effective communication and collaboration with peers, mentors, and local stakeholders.</w:t>
            </w:r>
          </w:p>
          <w:p w14:paraId="286318A8" w14:textId="77777777" w:rsidR="00C16F43" w:rsidRDefault="00FD42D2">
            <w:pPr>
              <w:pBdr>
                <w:top w:val="nil"/>
                <w:left w:val="nil"/>
                <w:bottom w:val="nil"/>
                <w:right w:val="nil"/>
                <w:between w:val="nil"/>
              </w:pBdr>
              <w:jc w:val="left"/>
            </w:pPr>
            <w:r>
              <w:lastRenderedPageBreak/>
              <w:t xml:space="preserve">   - Demonstrated intercultural competence, adaptability, and respect for diverse perspectives.</w:t>
            </w:r>
          </w:p>
          <w:p w14:paraId="7CB5BEA4" w14:textId="77777777" w:rsidR="00C16F43" w:rsidRDefault="00C16F43">
            <w:pPr>
              <w:pBdr>
                <w:top w:val="nil"/>
                <w:left w:val="nil"/>
                <w:bottom w:val="nil"/>
                <w:right w:val="nil"/>
                <w:between w:val="nil"/>
              </w:pBdr>
              <w:jc w:val="left"/>
            </w:pPr>
          </w:p>
          <w:p w14:paraId="635FA312" w14:textId="77777777" w:rsidR="00C16F43" w:rsidRDefault="00FD42D2">
            <w:pPr>
              <w:pBdr>
                <w:top w:val="nil"/>
                <w:left w:val="nil"/>
                <w:bottom w:val="nil"/>
                <w:right w:val="nil"/>
                <w:between w:val="nil"/>
              </w:pBdr>
              <w:jc w:val="left"/>
            </w:pPr>
            <w:r>
              <w:t>5. Personal Growth and Reflection:</w:t>
            </w:r>
          </w:p>
          <w:p w14:paraId="66FFCF5D" w14:textId="77777777" w:rsidR="00C16F43" w:rsidRDefault="00FD42D2">
            <w:pPr>
              <w:pBdr>
                <w:top w:val="nil"/>
                <w:left w:val="nil"/>
                <w:bottom w:val="nil"/>
                <w:right w:val="nil"/>
                <w:between w:val="nil"/>
              </w:pBdr>
              <w:jc w:val="left"/>
            </w:pPr>
            <w:r>
              <w:t xml:space="preserve">   - Evidence of personal growth, self-awareness, and the ability to reflect on experiences and learning.</w:t>
            </w:r>
          </w:p>
          <w:p w14:paraId="7EC31D37" w14:textId="77777777" w:rsidR="00C16F43" w:rsidRDefault="00FD42D2">
            <w:pPr>
              <w:pBdr>
                <w:top w:val="nil"/>
                <w:left w:val="nil"/>
                <w:bottom w:val="nil"/>
                <w:right w:val="nil"/>
                <w:between w:val="nil"/>
              </w:pBdr>
              <w:jc w:val="left"/>
            </w:pPr>
            <w:r>
              <w:t xml:space="preserve">   - Identification of areas for personal improvement and development.</w:t>
            </w:r>
          </w:p>
          <w:p w14:paraId="1E44BF8B" w14:textId="77777777" w:rsidR="00C16F43" w:rsidRDefault="00C16F43">
            <w:pPr>
              <w:pBdr>
                <w:top w:val="nil"/>
                <w:left w:val="nil"/>
                <w:bottom w:val="nil"/>
                <w:right w:val="nil"/>
                <w:between w:val="nil"/>
              </w:pBdr>
              <w:jc w:val="left"/>
            </w:pPr>
          </w:p>
          <w:p w14:paraId="4E74F503" w14:textId="77777777" w:rsidR="00C16F43" w:rsidRDefault="00FD42D2">
            <w:pPr>
              <w:pBdr>
                <w:top w:val="nil"/>
                <w:left w:val="nil"/>
                <w:bottom w:val="nil"/>
                <w:right w:val="nil"/>
                <w:between w:val="nil"/>
              </w:pBdr>
              <w:jc w:val="left"/>
            </w:pPr>
            <w:r>
              <w:t>6. Project or Task Completion:</w:t>
            </w:r>
          </w:p>
          <w:p w14:paraId="77E852CC" w14:textId="77777777" w:rsidR="00C16F43" w:rsidRDefault="00FD42D2">
            <w:pPr>
              <w:pBdr>
                <w:top w:val="nil"/>
                <w:left w:val="nil"/>
                <w:bottom w:val="nil"/>
                <w:right w:val="nil"/>
                <w:between w:val="nil"/>
              </w:pBdr>
              <w:jc w:val="left"/>
            </w:pPr>
            <w:r>
              <w:t xml:space="preserve">   - Successful completion of tasks, projects, or assignments relevant to the program's goals.</w:t>
            </w:r>
          </w:p>
          <w:p w14:paraId="26BD4CBA" w14:textId="77777777" w:rsidR="00C16F43" w:rsidRDefault="00FD42D2">
            <w:pPr>
              <w:pBdr>
                <w:top w:val="nil"/>
                <w:left w:val="nil"/>
                <w:bottom w:val="nil"/>
                <w:right w:val="nil"/>
                <w:between w:val="nil"/>
              </w:pBdr>
              <w:jc w:val="left"/>
            </w:pPr>
            <w:r>
              <w:t xml:space="preserve">   - Quality and creativity of work produced during the mobility.</w:t>
            </w:r>
          </w:p>
          <w:p w14:paraId="473555B5" w14:textId="77777777" w:rsidR="00C16F43" w:rsidRDefault="00C16F43">
            <w:pPr>
              <w:pBdr>
                <w:top w:val="nil"/>
                <w:left w:val="nil"/>
                <w:bottom w:val="nil"/>
                <w:right w:val="nil"/>
                <w:between w:val="nil"/>
              </w:pBdr>
              <w:jc w:val="left"/>
            </w:pPr>
          </w:p>
          <w:p w14:paraId="6425EE4C" w14:textId="77777777" w:rsidR="00C16F43" w:rsidRDefault="00FD42D2">
            <w:pPr>
              <w:pBdr>
                <w:top w:val="nil"/>
                <w:left w:val="nil"/>
                <w:bottom w:val="nil"/>
                <w:right w:val="nil"/>
                <w:between w:val="nil"/>
              </w:pBdr>
              <w:jc w:val="left"/>
            </w:pPr>
            <w:r>
              <w:t>7. Presentation and Communication:</w:t>
            </w:r>
          </w:p>
          <w:p w14:paraId="1E33C8E1" w14:textId="77777777" w:rsidR="00C16F43" w:rsidRDefault="00FD42D2">
            <w:pPr>
              <w:pBdr>
                <w:top w:val="nil"/>
                <w:left w:val="nil"/>
                <w:bottom w:val="nil"/>
                <w:right w:val="nil"/>
                <w:between w:val="nil"/>
              </w:pBdr>
              <w:jc w:val="left"/>
            </w:pPr>
            <w:r>
              <w:t xml:space="preserve">   - Ability to articulate and communicate ideas effectively, both in written and oral formats.</w:t>
            </w:r>
          </w:p>
          <w:p w14:paraId="43AE2F76" w14:textId="77777777" w:rsidR="00C16F43" w:rsidRDefault="00FD42D2">
            <w:pPr>
              <w:pBdr>
                <w:top w:val="nil"/>
                <w:left w:val="nil"/>
                <w:bottom w:val="nil"/>
                <w:right w:val="nil"/>
                <w:between w:val="nil"/>
              </w:pBdr>
              <w:jc w:val="left"/>
            </w:pPr>
            <w:r>
              <w:t xml:space="preserve">   - Clarity and persuasiveness in presentations and reports.</w:t>
            </w:r>
          </w:p>
          <w:p w14:paraId="0C5FA5E6" w14:textId="77777777" w:rsidR="00C16F43" w:rsidRDefault="00C16F43">
            <w:pPr>
              <w:pBdr>
                <w:top w:val="nil"/>
                <w:left w:val="nil"/>
                <w:bottom w:val="nil"/>
                <w:right w:val="nil"/>
                <w:between w:val="nil"/>
              </w:pBdr>
              <w:jc w:val="left"/>
            </w:pPr>
          </w:p>
          <w:p w14:paraId="4C6C2ED6" w14:textId="77777777" w:rsidR="00C16F43" w:rsidRDefault="00FD42D2">
            <w:pPr>
              <w:pBdr>
                <w:top w:val="nil"/>
                <w:left w:val="nil"/>
                <w:bottom w:val="nil"/>
                <w:right w:val="nil"/>
                <w:between w:val="nil"/>
              </w:pBdr>
              <w:jc w:val="left"/>
            </w:pPr>
            <w:r>
              <w:t>8. Adherence to Program Objectives:</w:t>
            </w:r>
          </w:p>
          <w:p w14:paraId="6D4DB01D" w14:textId="77777777" w:rsidR="00C16F43" w:rsidRDefault="00FD42D2">
            <w:pPr>
              <w:pBdr>
                <w:top w:val="nil"/>
                <w:left w:val="nil"/>
                <w:bottom w:val="nil"/>
                <w:right w:val="nil"/>
                <w:between w:val="nil"/>
              </w:pBdr>
              <w:jc w:val="left"/>
            </w:pPr>
            <w:r>
              <w:t xml:space="preserve">   - Alignment of the participant's activities and outcomes with the program's stated objectives and intended learning outcomes.</w:t>
            </w:r>
          </w:p>
          <w:p w14:paraId="586A49B6" w14:textId="77777777" w:rsidR="00C16F43" w:rsidRDefault="00C16F43">
            <w:pPr>
              <w:pBdr>
                <w:top w:val="nil"/>
                <w:left w:val="nil"/>
                <w:bottom w:val="nil"/>
                <w:right w:val="nil"/>
                <w:between w:val="nil"/>
              </w:pBdr>
              <w:jc w:val="left"/>
            </w:pPr>
          </w:p>
          <w:p w14:paraId="009AAAA8" w14:textId="77777777" w:rsidR="00C16F43" w:rsidRDefault="00FD42D2">
            <w:pPr>
              <w:pBdr>
                <w:top w:val="nil"/>
                <w:left w:val="nil"/>
                <w:bottom w:val="nil"/>
                <w:right w:val="nil"/>
                <w:between w:val="nil"/>
              </w:pBdr>
              <w:jc w:val="left"/>
            </w:pPr>
            <w:r>
              <w:t>9. Cultural Integration and Adaptation:</w:t>
            </w:r>
          </w:p>
          <w:p w14:paraId="489192D9" w14:textId="77777777" w:rsidR="00C16F43" w:rsidRDefault="00FD42D2">
            <w:pPr>
              <w:pBdr>
                <w:top w:val="nil"/>
                <w:left w:val="nil"/>
                <w:bottom w:val="nil"/>
                <w:right w:val="nil"/>
                <w:between w:val="nil"/>
              </w:pBdr>
              <w:jc w:val="left"/>
            </w:pPr>
            <w:r>
              <w:t xml:space="preserve">   - Ability to adapt to the host environment and engage positively with the local culture.</w:t>
            </w:r>
          </w:p>
          <w:p w14:paraId="13BB61EF" w14:textId="77777777" w:rsidR="00C16F43" w:rsidRDefault="00FD42D2">
            <w:pPr>
              <w:pBdr>
                <w:top w:val="nil"/>
                <w:left w:val="nil"/>
                <w:bottom w:val="nil"/>
                <w:right w:val="nil"/>
                <w:between w:val="nil"/>
              </w:pBdr>
              <w:jc w:val="left"/>
            </w:pPr>
            <w:r>
              <w:t xml:space="preserve">   - Respect for cultural norms and practices.</w:t>
            </w:r>
          </w:p>
          <w:p w14:paraId="16A8B743" w14:textId="77777777" w:rsidR="00C16F43" w:rsidRDefault="00C16F43">
            <w:pPr>
              <w:pBdr>
                <w:top w:val="nil"/>
                <w:left w:val="nil"/>
                <w:bottom w:val="nil"/>
                <w:right w:val="nil"/>
                <w:between w:val="nil"/>
              </w:pBdr>
              <w:jc w:val="left"/>
            </w:pPr>
          </w:p>
          <w:p w14:paraId="618B49F9" w14:textId="77777777" w:rsidR="00C16F43" w:rsidRDefault="00FD42D2">
            <w:pPr>
              <w:pBdr>
                <w:top w:val="nil"/>
                <w:left w:val="nil"/>
                <w:bottom w:val="nil"/>
                <w:right w:val="nil"/>
                <w:between w:val="nil"/>
              </w:pBdr>
              <w:jc w:val="left"/>
            </w:pPr>
            <w:r>
              <w:t>10. Overall Impact:</w:t>
            </w:r>
          </w:p>
          <w:p w14:paraId="37A1BDFC" w14:textId="77777777" w:rsidR="00C16F43" w:rsidRDefault="00FD42D2">
            <w:pPr>
              <w:pBdr>
                <w:top w:val="nil"/>
                <w:left w:val="nil"/>
                <w:bottom w:val="nil"/>
                <w:right w:val="nil"/>
                <w:between w:val="nil"/>
              </w:pBdr>
              <w:jc w:val="left"/>
            </w:pPr>
            <w:r>
              <w:t xml:space="preserve">    - Assessment of the overall impact of the participant's mobility experience on their personal and professional development.</w:t>
            </w:r>
          </w:p>
          <w:p w14:paraId="53022EEF" w14:textId="77777777" w:rsidR="00C16F43" w:rsidRDefault="00FD42D2">
            <w:pPr>
              <w:pBdr>
                <w:top w:val="nil"/>
                <w:left w:val="nil"/>
                <w:bottom w:val="nil"/>
                <w:right w:val="nil"/>
                <w:between w:val="nil"/>
              </w:pBdr>
              <w:jc w:val="left"/>
            </w:pPr>
            <w:r>
              <w:t xml:space="preserve">    - Evaluation of the participant's contribution to the host organisation or community, if applicable.</w:t>
            </w:r>
          </w:p>
          <w:p w14:paraId="15CF5E1E" w14:textId="77777777" w:rsidR="00C16F43" w:rsidRDefault="00C16F43">
            <w:pPr>
              <w:pBdr>
                <w:top w:val="nil"/>
                <w:left w:val="nil"/>
                <w:bottom w:val="nil"/>
                <w:right w:val="nil"/>
                <w:between w:val="nil"/>
              </w:pBdr>
              <w:jc w:val="left"/>
            </w:pPr>
          </w:p>
          <w:p w14:paraId="4F5A6FD3" w14:textId="77777777" w:rsidR="00C16F43" w:rsidRDefault="00FD42D2">
            <w:pPr>
              <w:pBdr>
                <w:top w:val="nil"/>
                <w:left w:val="nil"/>
                <w:bottom w:val="nil"/>
                <w:right w:val="nil"/>
                <w:between w:val="nil"/>
              </w:pBdr>
              <w:jc w:val="left"/>
            </w:pPr>
            <w:r>
              <w:t>These evaluation criteria will provide a comprehensive framework for assessing the participant's achievements and the effectiveness of the mobility program in meeting its goals.</w:t>
            </w:r>
          </w:p>
        </w:tc>
      </w:tr>
    </w:tbl>
    <w:p w14:paraId="7ABA4806" w14:textId="77777777" w:rsidR="00C16F43" w:rsidRDefault="00C16F43">
      <w:pPr>
        <w:jc w:val="left"/>
        <w:rPr>
          <w:b/>
        </w:rPr>
      </w:pPr>
    </w:p>
    <w:p w14:paraId="576A04F1" w14:textId="77777777" w:rsidR="00C16F43" w:rsidRDefault="00C16F43">
      <w:pPr>
        <w:jc w:val="left"/>
        <w:rPr>
          <w:b/>
        </w:rPr>
      </w:pPr>
    </w:p>
    <w:p w14:paraId="194C67A5" w14:textId="77777777" w:rsidR="00C16F43" w:rsidRDefault="00C16F43">
      <w:pPr>
        <w:jc w:val="left"/>
        <w:rPr>
          <w:b/>
        </w:rPr>
      </w:pPr>
    </w:p>
    <w:p w14:paraId="2330F378" w14:textId="77777777" w:rsidR="00C16F43" w:rsidRDefault="00C16F43">
      <w:pPr>
        <w:jc w:val="left"/>
        <w:rPr>
          <w:b/>
        </w:rPr>
      </w:pPr>
    </w:p>
    <w:tbl>
      <w:tblPr>
        <w:tblStyle w:val="afa"/>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16F43" w14:paraId="1715CA6B" w14:textId="77777777">
        <w:tc>
          <w:tcPr>
            <w:tcW w:w="8789" w:type="dxa"/>
            <w:vAlign w:val="center"/>
          </w:tcPr>
          <w:p w14:paraId="27F903DC" w14:textId="77777777" w:rsidR="00C16F43" w:rsidRDefault="00FD42D2">
            <w:pPr>
              <w:pBdr>
                <w:top w:val="nil"/>
                <w:left w:val="nil"/>
                <w:bottom w:val="nil"/>
                <w:right w:val="nil"/>
                <w:between w:val="nil"/>
              </w:pBdr>
              <w:jc w:val="left"/>
              <w:rPr>
                <w:b/>
              </w:rPr>
            </w:pPr>
            <w:r>
              <w:rPr>
                <w:b/>
              </w:rPr>
              <w:t>Evaluation procedures:</w:t>
            </w:r>
          </w:p>
        </w:tc>
      </w:tr>
      <w:tr w:rsidR="00C16F43" w14:paraId="6D9CF4E6" w14:textId="77777777">
        <w:tc>
          <w:tcPr>
            <w:tcW w:w="8789" w:type="dxa"/>
            <w:vAlign w:val="center"/>
          </w:tcPr>
          <w:p w14:paraId="3A0326E4" w14:textId="77777777" w:rsidR="00C16F43" w:rsidRDefault="00FD42D2">
            <w:pPr>
              <w:pBdr>
                <w:top w:val="nil"/>
                <w:left w:val="nil"/>
                <w:bottom w:val="nil"/>
                <w:right w:val="nil"/>
                <w:between w:val="nil"/>
              </w:pBdr>
              <w:jc w:val="left"/>
            </w:pPr>
            <w:r>
              <w:t>Evaluation Location:</w:t>
            </w:r>
          </w:p>
          <w:p w14:paraId="25F7BF43" w14:textId="0BB3BD1C" w:rsidR="00C16F43" w:rsidRDefault="00FD42D2">
            <w:pPr>
              <w:pBdr>
                <w:top w:val="nil"/>
                <w:left w:val="nil"/>
                <w:bottom w:val="nil"/>
                <w:right w:val="nil"/>
                <w:between w:val="nil"/>
              </w:pBdr>
              <w:jc w:val="left"/>
            </w:pPr>
            <w:r>
              <w:t>- Evaluation will primarily take place at Osnovna škola xx, the hosting organisation where the mobility occurred.</w:t>
            </w:r>
          </w:p>
          <w:p w14:paraId="2C713D4A" w14:textId="50F3E364" w:rsidR="00C16F43" w:rsidRDefault="00FD42D2">
            <w:pPr>
              <w:pBdr>
                <w:top w:val="nil"/>
                <w:left w:val="nil"/>
                <w:bottom w:val="nil"/>
                <w:right w:val="nil"/>
                <w:between w:val="nil"/>
              </w:pBdr>
              <w:jc w:val="left"/>
            </w:pPr>
            <w:r>
              <w:t>- xx, the sending organisation, may also be involved in coordinating aspects of the evaluation, such as feedback and assessments.</w:t>
            </w:r>
          </w:p>
          <w:p w14:paraId="0F491275" w14:textId="77777777" w:rsidR="00C16F43" w:rsidRDefault="00C16F43">
            <w:pPr>
              <w:pBdr>
                <w:top w:val="nil"/>
                <w:left w:val="nil"/>
                <w:bottom w:val="nil"/>
                <w:right w:val="nil"/>
                <w:between w:val="nil"/>
              </w:pBdr>
              <w:jc w:val="left"/>
            </w:pPr>
          </w:p>
          <w:p w14:paraId="0155CC6D" w14:textId="77777777" w:rsidR="00C16F43" w:rsidRDefault="00FD42D2">
            <w:pPr>
              <w:pBdr>
                <w:top w:val="nil"/>
                <w:left w:val="nil"/>
                <w:bottom w:val="nil"/>
                <w:right w:val="nil"/>
                <w:between w:val="nil"/>
              </w:pBdr>
              <w:jc w:val="left"/>
            </w:pPr>
            <w:r>
              <w:t>Evaluators:</w:t>
            </w:r>
          </w:p>
          <w:p w14:paraId="539034BC" w14:textId="15793E89" w:rsidR="00C16F43" w:rsidRDefault="00FD42D2">
            <w:pPr>
              <w:pBdr>
                <w:top w:val="nil"/>
                <w:left w:val="nil"/>
                <w:bottom w:val="nil"/>
                <w:right w:val="nil"/>
                <w:between w:val="nil"/>
              </w:pBdr>
              <w:jc w:val="left"/>
            </w:pPr>
            <w:r>
              <w:t>- Mentors and supervisors at Osnovna škola xx will play a central role in evaluating the participant's performance and progress during the mobility.</w:t>
            </w:r>
          </w:p>
          <w:p w14:paraId="5E43E08B" w14:textId="5E6BB0BE" w:rsidR="00C16F43" w:rsidRDefault="00FD42D2">
            <w:pPr>
              <w:pBdr>
                <w:top w:val="nil"/>
                <w:left w:val="nil"/>
                <w:bottom w:val="nil"/>
                <w:right w:val="nil"/>
                <w:between w:val="nil"/>
              </w:pBdr>
              <w:jc w:val="left"/>
            </w:pPr>
            <w:r>
              <w:t>- Peers and colleagues at Osnovna škola xx may provide input and feedback on collaborative projects or team activities.</w:t>
            </w:r>
          </w:p>
          <w:p w14:paraId="6D0A2E67" w14:textId="4CDCB57E" w:rsidR="00C16F43" w:rsidRDefault="00FD42D2">
            <w:pPr>
              <w:pBdr>
                <w:top w:val="nil"/>
                <w:left w:val="nil"/>
                <w:bottom w:val="nil"/>
                <w:right w:val="nil"/>
                <w:between w:val="nil"/>
              </w:pBdr>
              <w:jc w:val="left"/>
            </w:pPr>
            <w:r>
              <w:t>- xx will oversee the overall evaluation process, coordinate with Osnovna škola xx, and provide additional feedback and assessments as necessary.</w:t>
            </w:r>
          </w:p>
          <w:p w14:paraId="3AA31390" w14:textId="77777777" w:rsidR="00C16F43" w:rsidRDefault="00C16F43">
            <w:pPr>
              <w:pBdr>
                <w:top w:val="nil"/>
                <w:left w:val="nil"/>
                <w:bottom w:val="nil"/>
                <w:right w:val="nil"/>
                <w:between w:val="nil"/>
              </w:pBdr>
              <w:jc w:val="left"/>
            </w:pPr>
          </w:p>
          <w:p w14:paraId="1D32559B" w14:textId="77777777" w:rsidR="00C16F43" w:rsidRDefault="00FD42D2">
            <w:pPr>
              <w:pBdr>
                <w:top w:val="nil"/>
                <w:left w:val="nil"/>
                <w:bottom w:val="nil"/>
                <w:right w:val="nil"/>
                <w:between w:val="nil"/>
              </w:pBdr>
              <w:jc w:val="left"/>
            </w:pPr>
            <w:r>
              <w:lastRenderedPageBreak/>
              <w:t>Procedure in Case of Contested Results:</w:t>
            </w:r>
          </w:p>
          <w:p w14:paraId="2F0ACA11" w14:textId="77777777" w:rsidR="00C16F43" w:rsidRDefault="00FD42D2">
            <w:pPr>
              <w:pBdr>
                <w:top w:val="nil"/>
                <w:left w:val="nil"/>
                <w:bottom w:val="nil"/>
                <w:right w:val="nil"/>
                <w:between w:val="nil"/>
              </w:pBdr>
              <w:jc w:val="left"/>
            </w:pPr>
            <w:r>
              <w:t>- In the event of contested results or disagreements between the participant and evaluators, a mediation process will be initiated.</w:t>
            </w:r>
          </w:p>
          <w:p w14:paraId="4BF6AED7" w14:textId="77777777" w:rsidR="00C16F43" w:rsidRDefault="00FD42D2">
            <w:pPr>
              <w:pBdr>
                <w:top w:val="nil"/>
                <w:left w:val="nil"/>
                <w:bottom w:val="nil"/>
                <w:right w:val="nil"/>
                <w:between w:val="nil"/>
              </w:pBdr>
              <w:jc w:val="left"/>
            </w:pPr>
            <w:r>
              <w:t>- A designated mediator, impartial to both the participant and the evaluators, will facilitate discussions and seek resolution.</w:t>
            </w:r>
          </w:p>
          <w:p w14:paraId="519E3E94" w14:textId="2CA1E4CF" w:rsidR="00C16F43" w:rsidRDefault="00FD42D2">
            <w:pPr>
              <w:pBdr>
                <w:top w:val="nil"/>
                <w:left w:val="nil"/>
                <w:bottom w:val="nil"/>
                <w:right w:val="nil"/>
                <w:between w:val="nil"/>
              </w:pBdr>
              <w:jc w:val="left"/>
            </w:pPr>
            <w:r>
              <w:t>- If a satisfactory resolution cannot be reached, xx and Osnovna škola xx will collaborate to find an equitable solution.</w:t>
            </w:r>
          </w:p>
          <w:p w14:paraId="3ED390C1" w14:textId="77777777" w:rsidR="00C16F43" w:rsidRDefault="00C16F43">
            <w:pPr>
              <w:pBdr>
                <w:top w:val="nil"/>
                <w:left w:val="nil"/>
                <w:bottom w:val="nil"/>
                <w:right w:val="nil"/>
                <w:between w:val="nil"/>
              </w:pBdr>
              <w:jc w:val="left"/>
            </w:pPr>
          </w:p>
          <w:p w14:paraId="5564FF8C" w14:textId="77777777" w:rsidR="00C16F43" w:rsidRDefault="00FD42D2">
            <w:pPr>
              <w:pBdr>
                <w:top w:val="nil"/>
                <w:left w:val="nil"/>
                <w:bottom w:val="nil"/>
                <w:right w:val="nil"/>
                <w:between w:val="nil"/>
              </w:pBdr>
              <w:jc w:val="left"/>
            </w:pPr>
            <w:r>
              <w:t>Transmittal of Results and Grades:</w:t>
            </w:r>
          </w:p>
          <w:p w14:paraId="1EAC89FC" w14:textId="6C61FF7C" w:rsidR="00C16F43" w:rsidRDefault="00FD42D2">
            <w:pPr>
              <w:pBdr>
                <w:top w:val="nil"/>
                <w:left w:val="nil"/>
                <w:bottom w:val="nil"/>
                <w:right w:val="nil"/>
                <w:between w:val="nil"/>
              </w:pBdr>
              <w:jc w:val="left"/>
            </w:pPr>
            <w:r>
              <w:t>- Evaluation results and grades, if applicable, will be communicated fromOsnovna škola xx to xx.</w:t>
            </w:r>
          </w:p>
          <w:p w14:paraId="5C364024" w14:textId="77777777" w:rsidR="00C16F43" w:rsidRDefault="00FD42D2">
            <w:pPr>
              <w:pBdr>
                <w:top w:val="nil"/>
                <w:left w:val="nil"/>
                <w:bottom w:val="nil"/>
                <w:right w:val="nil"/>
                <w:between w:val="nil"/>
              </w:pBdr>
              <w:jc w:val="left"/>
            </w:pPr>
            <w:r>
              <w:t>- This communication will be done securely and in compliance with data protection regulations.</w:t>
            </w:r>
          </w:p>
          <w:p w14:paraId="28479CBE" w14:textId="77777777" w:rsidR="00C16F43" w:rsidRDefault="00FD42D2">
            <w:pPr>
              <w:pBdr>
                <w:top w:val="nil"/>
                <w:left w:val="nil"/>
                <w:bottom w:val="nil"/>
                <w:right w:val="nil"/>
                <w:between w:val="nil"/>
              </w:pBdr>
              <w:jc w:val="left"/>
            </w:pPr>
            <w:r>
              <w:t>- Both organisations will maintain records of the evaluation outcomes for reference and documentation.</w:t>
            </w:r>
          </w:p>
          <w:p w14:paraId="5E54DB92" w14:textId="77777777" w:rsidR="00C16F43" w:rsidRDefault="00C16F43">
            <w:pPr>
              <w:pBdr>
                <w:top w:val="nil"/>
                <w:left w:val="nil"/>
                <w:bottom w:val="nil"/>
                <w:right w:val="nil"/>
                <w:between w:val="nil"/>
              </w:pBdr>
              <w:jc w:val="left"/>
            </w:pPr>
          </w:p>
          <w:p w14:paraId="787852DE" w14:textId="77777777" w:rsidR="00C16F43" w:rsidRDefault="00FD42D2">
            <w:pPr>
              <w:pBdr>
                <w:top w:val="nil"/>
                <w:left w:val="nil"/>
                <w:bottom w:val="nil"/>
                <w:right w:val="nil"/>
                <w:between w:val="nil"/>
              </w:pBdr>
              <w:jc w:val="left"/>
            </w:pPr>
            <w:r>
              <w:t>Feedback and Improvement Plans:</w:t>
            </w:r>
          </w:p>
          <w:p w14:paraId="3B0FFEE4" w14:textId="77777777" w:rsidR="00C16F43" w:rsidRDefault="00FD42D2">
            <w:pPr>
              <w:pBdr>
                <w:top w:val="nil"/>
                <w:left w:val="nil"/>
                <w:bottom w:val="nil"/>
                <w:right w:val="nil"/>
                <w:between w:val="nil"/>
              </w:pBdr>
              <w:jc w:val="left"/>
            </w:pPr>
            <w:r>
              <w:t>- After the initial evaluation, feedback on strengths and areas for improvement will be provided to the participant.</w:t>
            </w:r>
          </w:p>
          <w:p w14:paraId="6FB24E69" w14:textId="3C68E04F" w:rsidR="00C16F43" w:rsidRDefault="00FD42D2">
            <w:pPr>
              <w:pBdr>
                <w:top w:val="nil"/>
                <w:left w:val="nil"/>
                <w:bottom w:val="nil"/>
                <w:right w:val="nil"/>
                <w:between w:val="nil"/>
              </w:pBdr>
              <w:jc w:val="left"/>
            </w:pPr>
            <w:r>
              <w:t>- If needed, an improvement plan will be collaboratively developed between the participant and their mentors at Osnovna škola xx to address identified areas of development.</w:t>
            </w:r>
          </w:p>
          <w:p w14:paraId="26770D54" w14:textId="77777777" w:rsidR="00C16F43" w:rsidRDefault="00C16F43">
            <w:pPr>
              <w:pBdr>
                <w:top w:val="nil"/>
                <w:left w:val="nil"/>
                <w:bottom w:val="nil"/>
                <w:right w:val="nil"/>
                <w:between w:val="nil"/>
              </w:pBdr>
              <w:jc w:val="left"/>
            </w:pPr>
          </w:p>
          <w:p w14:paraId="40471AAB" w14:textId="77777777" w:rsidR="00C16F43" w:rsidRDefault="00FD42D2">
            <w:pPr>
              <w:pBdr>
                <w:top w:val="nil"/>
                <w:left w:val="nil"/>
                <w:bottom w:val="nil"/>
                <w:right w:val="nil"/>
                <w:between w:val="nil"/>
              </w:pBdr>
              <w:jc w:val="left"/>
            </w:pPr>
            <w:r>
              <w:t>Final Assessment and Certification:</w:t>
            </w:r>
          </w:p>
          <w:p w14:paraId="02D6F315" w14:textId="77777777" w:rsidR="00C16F43" w:rsidRDefault="00FD42D2">
            <w:pPr>
              <w:pBdr>
                <w:top w:val="nil"/>
                <w:left w:val="nil"/>
                <w:bottom w:val="nil"/>
                <w:right w:val="nil"/>
                <w:between w:val="nil"/>
              </w:pBdr>
              <w:jc w:val="left"/>
            </w:pPr>
            <w:r>
              <w:t>- Based on the evaluation and improvement plan, a final assessment will be conducted to determine the participant's overall performance and achievement of learning outcomes.</w:t>
            </w:r>
          </w:p>
          <w:p w14:paraId="0B3821C2" w14:textId="3D0C0C06" w:rsidR="00C16F43" w:rsidRDefault="00FD42D2">
            <w:pPr>
              <w:pBdr>
                <w:top w:val="nil"/>
                <w:left w:val="nil"/>
                <w:bottom w:val="nil"/>
                <w:right w:val="nil"/>
                <w:between w:val="nil"/>
              </w:pBdr>
              <w:jc w:val="left"/>
            </w:pPr>
            <w:r>
              <w:t>- A certification or formal documentation of the participant's participation and accomplishments during the mobility will be issued by Osnovna škola xx and shared with xx.</w:t>
            </w:r>
          </w:p>
          <w:p w14:paraId="0373BAA4" w14:textId="77777777" w:rsidR="00C16F43" w:rsidRDefault="00C16F43">
            <w:pPr>
              <w:pBdr>
                <w:top w:val="nil"/>
                <w:left w:val="nil"/>
                <w:bottom w:val="nil"/>
                <w:right w:val="nil"/>
                <w:between w:val="nil"/>
              </w:pBdr>
              <w:jc w:val="left"/>
            </w:pPr>
          </w:p>
          <w:p w14:paraId="09CBE1AA" w14:textId="466D91A2" w:rsidR="00C16F43" w:rsidRDefault="00FD42D2">
            <w:pPr>
              <w:pBdr>
                <w:top w:val="nil"/>
                <w:left w:val="nil"/>
                <w:bottom w:val="nil"/>
                <w:right w:val="nil"/>
                <w:between w:val="nil"/>
              </w:pBdr>
              <w:jc w:val="left"/>
            </w:pPr>
            <w:r>
              <w:t>These evaluation procedures are tailored to the specific context of Osnovna škola xx hosting participants from xx and are designed to ensure transparency, fairness, and accountability in assessing the participant's learning outcomes and providing them with constructive feedback for their continued growth and development.</w:t>
            </w:r>
          </w:p>
        </w:tc>
      </w:tr>
    </w:tbl>
    <w:p w14:paraId="396C130F" w14:textId="77777777" w:rsidR="00C16F43" w:rsidRDefault="00FD42D2">
      <w:pPr>
        <w:pStyle w:val="Naslov1"/>
        <w:numPr>
          <w:ilvl w:val="0"/>
          <w:numId w:val="3"/>
        </w:numPr>
      </w:pPr>
      <w:r>
        <w:lastRenderedPageBreak/>
        <w:t>Recognition of learning outcomes</w:t>
      </w:r>
    </w:p>
    <w:p w14:paraId="0223E638" w14:textId="77777777" w:rsidR="00C16F43" w:rsidRDefault="00FD42D2">
      <w:pPr>
        <w:spacing w:before="240" w:after="240"/>
      </w:pPr>
      <w:r>
        <w:t>The learning outcomes attained by the participant will be recognised in the following way:</w:t>
      </w:r>
    </w:p>
    <w:tbl>
      <w:tblPr>
        <w:tblStyle w:val="afb"/>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16F43" w14:paraId="59CD7707" w14:textId="77777777">
        <w:tc>
          <w:tcPr>
            <w:tcW w:w="8789" w:type="dxa"/>
            <w:vAlign w:val="center"/>
          </w:tcPr>
          <w:p w14:paraId="36439590" w14:textId="77777777" w:rsidR="00C16F43" w:rsidRDefault="00FD42D2">
            <w:pPr>
              <w:pBdr>
                <w:top w:val="nil"/>
                <w:left w:val="nil"/>
                <w:bottom w:val="nil"/>
                <w:right w:val="nil"/>
                <w:between w:val="nil"/>
              </w:pBdr>
              <w:jc w:val="left"/>
              <w:rPr>
                <w:b/>
              </w:rPr>
            </w:pPr>
            <w:r>
              <w:rPr>
                <w:b/>
              </w:rPr>
              <w:t>Recognition conditions:</w:t>
            </w:r>
          </w:p>
        </w:tc>
      </w:tr>
      <w:tr w:rsidR="00C16F43" w14:paraId="705B5D19" w14:textId="77777777">
        <w:tc>
          <w:tcPr>
            <w:tcW w:w="8789" w:type="dxa"/>
            <w:vAlign w:val="center"/>
          </w:tcPr>
          <w:p w14:paraId="3A5C1D7D" w14:textId="77777777" w:rsidR="00C16F43" w:rsidRDefault="00FD42D2">
            <w:pPr>
              <w:pBdr>
                <w:top w:val="nil"/>
                <w:left w:val="nil"/>
                <w:bottom w:val="nil"/>
                <w:right w:val="nil"/>
                <w:between w:val="nil"/>
              </w:pBdr>
              <w:jc w:val="left"/>
            </w:pPr>
            <w:r>
              <w:t>The recognition of learning outcomes attained by the participant will be based on the following conditions:</w:t>
            </w:r>
          </w:p>
          <w:p w14:paraId="7AE404FF" w14:textId="77777777" w:rsidR="00C16F43" w:rsidRDefault="00C16F43">
            <w:pPr>
              <w:pBdr>
                <w:top w:val="nil"/>
                <w:left w:val="nil"/>
                <w:bottom w:val="nil"/>
                <w:right w:val="nil"/>
                <w:between w:val="nil"/>
              </w:pBdr>
              <w:jc w:val="left"/>
            </w:pPr>
          </w:p>
          <w:p w14:paraId="18A09A82" w14:textId="77777777" w:rsidR="00C16F43" w:rsidRDefault="00FD42D2">
            <w:pPr>
              <w:pBdr>
                <w:top w:val="nil"/>
                <w:left w:val="nil"/>
                <w:bottom w:val="nil"/>
                <w:right w:val="nil"/>
                <w:between w:val="nil"/>
              </w:pBdr>
              <w:jc w:val="left"/>
            </w:pPr>
            <w:r>
              <w:t>1. Successful Completion of Job Shadow Program: The participant must successfully complete the entire mobility program, fulfilling all program requirements and responsibilities.</w:t>
            </w:r>
          </w:p>
          <w:p w14:paraId="6454280B" w14:textId="77777777" w:rsidR="00C16F43" w:rsidRDefault="00C16F43">
            <w:pPr>
              <w:pBdr>
                <w:top w:val="nil"/>
                <w:left w:val="nil"/>
                <w:bottom w:val="nil"/>
                <w:right w:val="nil"/>
                <w:between w:val="nil"/>
              </w:pBdr>
              <w:jc w:val="left"/>
            </w:pPr>
          </w:p>
          <w:p w14:paraId="0B911E64" w14:textId="77777777" w:rsidR="00C16F43" w:rsidRDefault="00FD42D2">
            <w:pPr>
              <w:pBdr>
                <w:top w:val="nil"/>
                <w:left w:val="nil"/>
                <w:bottom w:val="nil"/>
                <w:right w:val="nil"/>
                <w:between w:val="nil"/>
              </w:pBdr>
              <w:jc w:val="left"/>
            </w:pPr>
            <w:r>
              <w:t>2. Meeting Learning Objectives: Learning outcomes will be recognized when the participant demonstrates that they have met the predefined learning objectives set for the job shadowing program.</w:t>
            </w:r>
          </w:p>
          <w:p w14:paraId="5947A77C" w14:textId="77777777" w:rsidR="00C16F43" w:rsidRDefault="00C16F43">
            <w:pPr>
              <w:pBdr>
                <w:top w:val="nil"/>
                <w:left w:val="nil"/>
                <w:bottom w:val="nil"/>
                <w:right w:val="nil"/>
                <w:between w:val="nil"/>
              </w:pBdr>
              <w:jc w:val="left"/>
            </w:pPr>
          </w:p>
          <w:p w14:paraId="2CF132FD" w14:textId="77777777" w:rsidR="00C16F43" w:rsidRDefault="00FD42D2">
            <w:pPr>
              <w:pBdr>
                <w:top w:val="nil"/>
                <w:left w:val="nil"/>
                <w:bottom w:val="nil"/>
                <w:right w:val="nil"/>
                <w:between w:val="nil"/>
              </w:pBdr>
              <w:jc w:val="left"/>
            </w:pPr>
            <w:r>
              <w:lastRenderedPageBreak/>
              <w:t>3. Assessment and Evaluation: The participant's learning outcomes will be assessed and evaluated based on the established criteria and procedures, as outlined in the program's evaluation framework.</w:t>
            </w:r>
          </w:p>
          <w:p w14:paraId="3C3DDFD0" w14:textId="77777777" w:rsidR="00C16F43" w:rsidRDefault="00C16F43">
            <w:pPr>
              <w:pBdr>
                <w:top w:val="nil"/>
                <w:left w:val="nil"/>
                <w:bottom w:val="nil"/>
                <w:right w:val="nil"/>
                <w:between w:val="nil"/>
              </w:pBdr>
              <w:jc w:val="left"/>
            </w:pPr>
          </w:p>
          <w:p w14:paraId="2CC0087A" w14:textId="77777777" w:rsidR="00C16F43" w:rsidRDefault="00FD42D2">
            <w:pPr>
              <w:pBdr>
                <w:top w:val="nil"/>
                <w:left w:val="nil"/>
                <w:bottom w:val="nil"/>
                <w:right w:val="nil"/>
                <w:between w:val="nil"/>
              </w:pBdr>
              <w:jc w:val="left"/>
            </w:pPr>
            <w:r>
              <w:t>4. Quality of Work: Recognition will depend on the quality and depth of the participant's work, projects, or assignments completed during the job shadowing mobility, in alignment with the program's objectives.</w:t>
            </w:r>
          </w:p>
          <w:p w14:paraId="5E1208F5" w14:textId="77777777" w:rsidR="00C16F43" w:rsidRDefault="00C16F43">
            <w:pPr>
              <w:pBdr>
                <w:top w:val="nil"/>
                <w:left w:val="nil"/>
                <w:bottom w:val="nil"/>
                <w:right w:val="nil"/>
                <w:between w:val="nil"/>
              </w:pBdr>
              <w:jc w:val="left"/>
            </w:pPr>
          </w:p>
          <w:p w14:paraId="74EE9AA2" w14:textId="77777777" w:rsidR="00C16F43" w:rsidRDefault="00FD42D2">
            <w:pPr>
              <w:pBdr>
                <w:top w:val="nil"/>
                <w:left w:val="nil"/>
                <w:bottom w:val="nil"/>
                <w:right w:val="nil"/>
                <w:between w:val="nil"/>
              </w:pBdr>
              <w:jc w:val="left"/>
            </w:pPr>
            <w:r>
              <w:t>5. Feedback and Improvement: The participant should have engaged constructively with feedback and, if necessary, participated in improvement plans to address identified areas of development.</w:t>
            </w:r>
          </w:p>
          <w:p w14:paraId="00AF2DD2" w14:textId="77777777" w:rsidR="00C16F43" w:rsidRDefault="00C16F43">
            <w:pPr>
              <w:pBdr>
                <w:top w:val="nil"/>
                <w:left w:val="nil"/>
                <w:bottom w:val="nil"/>
                <w:right w:val="nil"/>
                <w:between w:val="nil"/>
              </w:pBdr>
              <w:jc w:val="left"/>
            </w:pPr>
          </w:p>
          <w:p w14:paraId="5B7D733B" w14:textId="77777777" w:rsidR="00C16F43" w:rsidRDefault="00FD42D2">
            <w:pPr>
              <w:pBdr>
                <w:top w:val="nil"/>
                <w:left w:val="nil"/>
                <w:bottom w:val="nil"/>
                <w:right w:val="nil"/>
                <w:between w:val="nil"/>
              </w:pBdr>
              <w:jc w:val="left"/>
            </w:pPr>
            <w:r>
              <w:t>6. Compliance with Program Regulations: The participant must have adhered to all program regulations, guidelines, and ethical standards throughout the job shadowing mobility.</w:t>
            </w:r>
          </w:p>
          <w:p w14:paraId="76BA8323" w14:textId="77777777" w:rsidR="00C16F43" w:rsidRDefault="00C16F43">
            <w:pPr>
              <w:pBdr>
                <w:top w:val="nil"/>
                <w:left w:val="nil"/>
                <w:bottom w:val="nil"/>
                <w:right w:val="nil"/>
                <w:between w:val="nil"/>
              </w:pBdr>
              <w:jc w:val="left"/>
            </w:pPr>
          </w:p>
          <w:p w14:paraId="6C45BFD0" w14:textId="77777777" w:rsidR="00C16F43" w:rsidRDefault="00FD42D2">
            <w:pPr>
              <w:pBdr>
                <w:top w:val="nil"/>
                <w:left w:val="nil"/>
                <w:bottom w:val="nil"/>
                <w:right w:val="nil"/>
                <w:between w:val="nil"/>
              </w:pBdr>
              <w:jc w:val="left"/>
            </w:pPr>
            <w:r>
              <w:t>7. Completion of Required Documentation: Any necessary documentation, reports, portfolios, or assessments must be submitted accurately and within established deadlines.</w:t>
            </w:r>
          </w:p>
          <w:p w14:paraId="4ADC7032" w14:textId="77777777" w:rsidR="00C16F43" w:rsidRDefault="00C16F43">
            <w:pPr>
              <w:pBdr>
                <w:top w:val="nil"/>
                <w:left w:val="nil"/>
                <w:bottom w:val="nil"/>
                <w:right w:val="nil"/>
                <w:between w:val="nil"/>
              </w:pBdr>
              <w:jc w:val="left"/>
            </w:pPr>
          </w:p>
          <w:p w14:paraId="05C8FBB8" w14:textId="77777777" w:rsidR="00C16F43" w:rsidRDefault="00FD42D2">
            <w:pPr>
              <w:pBdr>
                <w:top w:val="nil"/>
                <w:left w:val="nil"/>
                <w:bottom w:val="nil"/>
                <w:right w:val="nil"/>
                <w:between w:val="nil"/>
              </w:pBdr>
              <w:jc w:val="left"/>
            </w:pPr>
            <w:r>
              <w:t>8. Communication of Results: Recognition will be contingent on the successful communication of evaluation results and learning outcomes between the hosting and sending organisations.</w:t>
            </w:r>
          </w:p>
          <w:p w14:paraId="0A6D7540" w14:textId="77777777" w:rsidR="00C16F43" w:rsidRDefault="00C16F43">
            <w:pPr>
              <w:pBdr>
                <w:top w:val="nil"/>
                <w:left w:val="nil"/>
                <w:bottom w:val="nil"/>
                <w:right w:val="nil"/>
                <w:between w:val="nil"/>
              </w:pBdr>
              <w:jc w:val="left"/>
            </w:pPr>
          </w:p>
          <w:p w14:paraId="2437BC98" w14:textId="77777777" w:rsidR="00C16F43" w:rsidRDefault="00FD42D2">
            <w:pPr>
              <w:pBdr>
                <w:top w:val="nil"/>
                <w:left w:val="nil"/>
                <w:bottom w:val="nil"/>
                <w:right w:val="nil"/>
                <w:between w:val="nil"/>
              </w:pBdr>
              <w:jc w:val="left"/>
            </w:pPr>
            <w:r>
              <w:t>9. Compliance with Local Regulations: Recognition may also be subject to compliance with local regulations or accreditation standards, where applicable.</w:t>
            </w:r>
          </w:p>
          <w:p w14:paraId="094ACA5F" w14:textId="77777777" w:rsidR="00C16F43" w:rsidRDefault="00C16F43">
            <w:pPr>
              <w:pBdr>
                <w:top w:val="nil"/>
                <w:left w:val="nil"/>
                <w:bottom w:val="nil"/>
                <w:right w:val="nil"/>
                <w:between w:val="nil"/>
              </w:pBdr>
              <w:jc w:val="left"/>
            </w:pPr>
          </w:p>
          <w:p w14:paraId="15424600" w14:textId="62739B91" w:rsidR="00C16F43" w:rsidRDefault="00FD42D2">
            <w:pPr>
              <w:pBdr>
                <w:top w:val="nil"/>
                <w:left w:val="nil"/>
                <w:bottom w:val="nil"/>
                <w:right w:val="nil"/>
                <w:between w:val="nil"/>
              </w:pBdr>
              <w:jc w:val="left"/>
            </w:pPr>
            <w:r>
              <w:t>10. Formal Certification: Upon meeting these conditions, the participant will receive formal certification or documentation from Osnovna škola xx, acknowledging the learning outcomes attained during the mobility.</w:t>
            </w:r>
          </w:p>
          <w:p w14:paraId="2A843D47" w14:textId="77777777" w:rsidR="00C16F43" w:rsidRDefault="00C16F43">
            <w:pPr>
              <w:pBdr>
                <w:top w:val="nil"/>
                <w:left w:val="nil"/>
                <w:bottom w:val="nil"/>
                <w:right w:val="nil"/>
                <w:between w:val="nil"/>
              </w:pBdr>
              <w:jc w:val="left"/>
            </w:pPr>
          </w:p>
          <w:p w14:paraId="2E2F8703" w14:textId="77777777" w:rsidR="00C16F43" w:rsidRDefault="00FD42D2">
            <w:pPr>
              <w:pBdr>
                <w:top w:val="nil"/>
                <w:left w:val="nil"/>
                <w:bottom w:val="nil"/>
                <w:right w:val="nil"/>
                <w:between w:val="nil"/>
              </w:pBdr>
              <w:jc w:val="left"/>
            </w:pPr>
            <w:r>
              <w:t>It is essential that the participants fully understands and adheres to these recognition conditions, as they serve as the basis for validating their achievements and the impact of their mobility experience.</w:t>
            </w:r>
          </w:p>
        </w:tc>
      </w:tr>
    </w:tbl>
    <w:p w14:paraId="7C0F6E35" w14:textId="77777777" w:rsidR="00C16F43" w:rsidRDefault="00C16F43">
      <w:pPr>
        <w:jc w:val="left"/>
        <w:rPr>
          <w:b/>
        </w:rPr>
      </w:pPr>
    </w:p>
    <w:tbl>
      <w:tblPr>
        <w:tblStyle w:val="afc"/>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16F43" w14:paraId="6966612F" w14:textId="77777777">
        <w:tc>
          <w:tcPr>
            <w:tcW w:w="8789" w:type="dxa"/>
            <w:vAlign w:val="center"/>
          </w:tcPr>
          <w:p w14:paraId="7703D745" w14:textId="77777777" w:rsidR="00C16F43" w:rsidRDefault="00FD42D2">
            <w:pPr>
              <w:pBdr>
                <w:top w:val="nil"/>
                <w:left w:val="nil"/>
                <w:bottom w:val="nil"/>
                <w:right w:val="nil"/>
                <w:between w:val="nil"/>
              </w:pBdr>
              <w:jc w:val="left"/>
              <w:rPr>
                <w:b/>
              </w:rPr>
            </w:pPr>
            <w:r>
              <w:rPr>
                <w:b/>
              </w:rPr>
              <w:t>Recognition procedures:</w:t>
            </w:r>
          </w:p>
        </w:tc>
      </w:tr>
      <w:tr w:rsidR="00C16F43" w14:paraId="3D5E4EA8" w14:textId="77777777">
        <w:tc>
          <w:tcPr>
            <w:tcW w:w="8789" w:type="dxa"/>
            <w:vAlign w:val="center"/>
          </w:tcPr>
          <w:p w14:paraId="17AB304D" w14:textId="77777777" w:rsidR="00C16F43" w:rsidRDefault="00FD42D2">
            <w:pPr>
              <w:pBdr>
                <w:top w:val="nil"/>
                <w:left w:val="nil"/>
                <w:bottom w:val="nil"/>
                <w:right w:val="nil"/>
                <w:between w:val="nil"/>
              </w:pBdr>
              <w:jc w:val="left"/>
            </w:pPr>
            <w:r>
              <w:t>1. Responsibility for Recognition:</w:t>
            </w:r>
          </w:p>
          <w:p w14:paraId="1D68C6DA" w14:textId="7F36D9BC" w:rsidR="00C16F43" w:rsidRDefault="00FD42D2">
            <w:pPr>
              <w:pBdr>
                <w:top w:val="nil"/>
                <w:left w:val="nil"/>
                <w:bottom w:val="nil"/>
                <w:right w:val="nil"/>
                <w:between w:val="nil"/>
              </w:pBdr>
              <w:jc w:val="left"/>
            </w:pPr>
            <w:r>
              <w:t>The responsibility for the recognition of learning outcomes will be jointly shared between the sending organisation, xx, and the hosting organisation, Osnovna škola xx. Each organisation will play a distinct role in the recognition process:</w:t>
            </w:r>
          </w:p>
          <w:p w14:paraId="57A15A9B" w14:textId="77777777" w:rsidR="00C16F43" w:rsidRDefault="00C16F43">
            <w:pPr>
              <w:pBdr>
                <w:top w:val="nil"/>
                <w:left w:val="nil"/>
                <w:bottom w:val="nil"/>
                <w:right w:val="nil"/>
                <w:between w:val="nil"/>
              </w:pBdr>
              <w:jc w:val="left"/>
            </w:pPr>
          </w:p>
          <w:p w14:paraId="641DDC1A" w14:textId="52104697" w:rsidR="00C16F43" w:rsidRDefault="00FD42D2">
            <w:pPr>
              <w:pBdr>
                <w:top w:val="nil"/>
                <w:left w:val="nil"/>
                <w:bottom w:val="nil"/>
                <w:right w:val="nil"/>
                <w:between w:val="nil"/>
              </w:pBdr>
              <w:jc w:val="left"/>
            </w:pPr>
            <w:r>
              <w:t>-Sending Organization xx:</w:t>
            </w:r>
          </w:p>
          <w:p w14:paraId="6891AB95" w14:textId="7CC08F88" w:rsidR="00C16F43" w:rsidRDefault="00FD42D2">
            <w:pPr>
              <w:pBdr>
                <w:top w:val="nil"/>
                <w:left w:val="nil"/>
                <w:bottom w:val="nil"/>
                <w:right w:val="nil"/>
                <w:between w:val="nil"/>
              </w:pBdr>
              <w:jc w:val="left"/>
            </w:pPr>
            <w:r>
              <w:t xml:space="preserve">     - xx will initiate the recognition process by collecting and reviewing assessment and evaluation data from Osnovna škola xx.</w:t>
            </w:r>
          </w:p>
          <w:p w14:paraId="377060AD" w14:textId="77777777" w:rsidR="00C16F43" w:rsidRDefault="00FD42D2">
            <w:pPr>
              <w:pBdr>
                <w:top w:val="nil"/>
                <w:left w:val="nil"/>
                <w:bottom w:val="nil"/>
                <w:right w:val="nil"/>
                <w:between w:val="nil"/>
              </w:pBdr>
              <w:jc w:val="left"/>
            </w:pPr>
            <w:r>
              <w:t xml:space="preserve">     - They will ensure that the participant has met all program requirements and learning objectives.</w:t>
            </w:r>
          </w:p>
          <w:p w14:paraId="6D3995C0" w14:textId="3E63BCBC" w:rsidR="00C16F43" w:rsidRDefault="00FD42D2">
            <w:pPr>
              <w:pBdr>
                <w:top w:val="nil"/>
                <w:left w:val="nil"/>
                <w:bottom w:val="nil"/>
                <w:right w:val="nil"/>
                <w:between w:val="nil"/>
              </w:pBdr>
              <w:jc w:val="left"/>
            </w:pPr>
            <w:r>
              <w:t xml:space="preserve">     - xx will issue a formal recognition statement or certificate acknowledging the participant's achievements during the mobility.</w:t>
            </w:r>
          </w:p>
          <w:p w14:paraId="5532DCD6" w14:textId="77777777" w:rsidR="00C16F43" w:rsidRDefault="00C16F43">
            <w:pPr>
              <w:pBdr>
                <w:top w:val="nil"/>
                <w:left w:val="nil"/>
                <w:bottom w:val="nil"/>
                <w:right w:val="nil"/>
                <w:between w:val="nil"/>
              </w:pBdr>
              <w:jc w:val="left"/>
            </w:pPr>
          </w:p>
          <w:p w14:paraId="1B4EE1C6" w14:textId="3FA17366" w:rsidR="00C16F43" w:rsidRDefault="00FD42D2">
            <w:pPr>
              <w:pBdr>
                <w:top w:val="nil"/>
                <w:left w:val="nil"/>
                <w:bottom w:val="nil"/>
                <w:right w:val="nil"/>
                <w:between w:val="nil"/>
              </w:pBdr>
              <w:jc w:val="left"/>
            </w:pPr>
            <w:r>
              <w:t xml:space="preserve">-Hosting Organization Osnovna škola </w:t>
            </w:r>
            <w:r w:rsidR="00C84742">
              <w:t>xx</w:t>
            </w:r>
            <w:r>
              <w:t>:</w:t>
            </w:r>
          </w:p>
          <w:p w14:paraId="3C382F37" w14:textId="2045CD7F" w:rsidR="00C16F43" w:rsidRDefault="00FD42D2">
            <w:pPr>
              <w:pBdr>
                <w:top w:val="nil"/>
                <w:left w:val="nil"/>
                <w:bottom w:val="nil"/>
                <w:right w:val="nil"/>
                <w:between w:val="nil"/>
              </w:pBdr>
              <w:jc w:val="left"/>
            </w:pPr>
            <w:r>
              <w:t xml:space="preserve">     - Osnovna škola</w:t>
            </w:r>
            <w:r w:rsidR="00C84742">
              <w:t xml:space="preserve"> xx</w:t>
            </w:r>
            <w:r>
              <w:t xml:space="preserve"> will provide assessment results, evaluation reports, and feedback on the participant's performance to </w:t>
            </w:r>
            <w:r w:rsidR="00C84742">
              <w:t>xx</w:t>
            </w:r>
            <w:r>
              <w:t>.</w:t>
            </w:r>
          </w:p>
          <w:p w14:paraId="527812FE" w14:textId="3C4A8A52" w:rsidR="00C16F43" w:rsidRDefault="00FD42D2">
            <w:pPr>
              <w:pBdr>
                <w:top w:val="nil"/>
                <w:left w:val="nil"/>
                <w:bottom w:val="nil"/>
                <w:right w:val="nil"/>
                <w:between w:val="nil"/>
              </w:pBdr>
              <w:jc w:val="left"/>
            </w:pPr>
            <w:r>
              <w:t xml:space="preserve">     - They will collaborate with </w:t>
            </w:r>
            <w:r w:rsidR="00C84742">
              <w:t xml:space="preserve">xx </w:t>
            </w:r>
            <w:r>
              <w:t xml:space="preserve"> to address any questions or concerns related to the recognition process.</w:t>
            </w:r>
          </w:p>
          <w:p w14:paraId="637D7516" w14:textId="77777777" w:rsidR="00C16F43" w:rsidRDefault="00C16F43">
            <w:pPr>
              <w:pBdr>
                <w:top w:val="nil"/>
                <w:left w:val="nil"/>
                <w:bottom w:val="nil"/>
                <w:right w:val="nil"/>
                <w:between w:val="nil"/>
              </w:pBdr>
              <w:jc w:val="left"/>
            </w:pPr>
          </w:p>
          <w:p w14:paraId="5F01AC86" w14:textId="77777777" w:rsidR="00C16F43" w:rsidRDefault="00FD42D2">
            <w:pPr>
              <w:pBdr>
                <w:top w:val="nil"/>
                <w:left w:val="nil"/>
                <w:bottom w:val="nil"/>
                <w:right w:val="nil"/>
                <w:between w:val="nil"/>
              </w:pBdr>
              <w:jc w:val="left"/>
            </w:pPr>
            <w:r>
              <w:lastRenderedPageBreak/>
              <w:t>2. Registration in Learner's Records:</w:t>
            </w:r>
          </w:p>
          <w:p w14:paraId="5E448138" w14:textId="7E0BF4C5" w:rsidR="00C16F43" w:rsidRDefault="00FD42D2">
            <w:pPr>
              <w:pBdr>
                <w:top w:val="nil"/>
                <w:left w:val="nil"/>
                <w:bottom w:val="nil"/>
                <w:right w:val="nil"/>
                <w:between w:val="nil"/>
              </w:pBdr>
              <w:jc w:val="left"/>
            </w:pPr>
            <w:r>
              <w:t xml:space="preserve">   - Upon successful recognition of the learning outcomes, </w:t>
            </w:r>
            <w:r w:rsidR="00C84742">
              <w:t>xx</w:t>
            </w:r>
            <w:r>
              <w:t xml:space="preserve"> will ensure that the recognised outcomes are appropriately documented and registered in the learner's records.</w:t>
            </w:r>
          </w:p>
          <w:p w14:paraId="051E3ACE" w14:textId="77777777" w:rsidR="00C16F43" w:rsidRDefault="00FD42D2">
            <w:pPr>
              <w:pBdr>
                <w:top w:val="nil"/>
                <w:left w:val="nil"/>
                <w:bottom w:val="nil"/>
                <w:right w:val="nil"/>
                <w:between w:val="nil"/>
              </w:pBdr>
              <w:jc w:val="left"/>
            </w:pPr>
            <w:r>
              <w:t xml:space="preserve">   - This may involve updating the participant's academic or training records to reflect the achievements and competencies acquired during the job shadowing mobility.</w:t>
            </w:r>
          </w:p>
          <w:p w14:paraId="73C2B52B" w14:textId="501A3055" w:rsidR="00C16F43" w:rsidRDefault="00FD42D2">
            <w:pPr>
              <w:pBdr>
                <w:top w:val="nil"/>
                <w:left w:val="nil"/>
                <w:bottom w:val="nil"/>
                <w:right w:val="nil"/>
                <w:between w:val="nil"/>
              </w:pBdr>
              <w:jc w:val="left"/>
            </w:pPr>
            <w:r>
              <w:t xml:space="preserve">   - </w:t>
            </w:r>
            <w:r w:rsidR="00C84742">
              <w:t>xx</w:t>
            </w:r>
            <w:r>
              <w:t xml:space="preserve"> will also provide the participant with a formal recognition document that they can include in their personal portfolio or resume.</w:t>
            </w:r>
          </w:p>
          <w:p w14:paraId="0FAD25A4" w14:textId="77777777" w:rsidR="00C16F43" w:rsidRDefault="00C16F43">
            <w:pPr>
              <w:pBdr>
                <w:top w:val="nil"/>
                <w:left w:val="nil"/>
                <w:bottom w:val="nil"/>
                <w:right w:val="nil"/>
                <w:between w:val="nil"/>
              </w:pBdr>
              <w:jc w:val="left"/>
            </w:pPr>
          </w:p>
          <w:p w14:paraId="0089B12A" w14:textId="77777777" w:rsidR="00C16F43" w:rsidRDefault="00FD42D2">
            <w:pPr>
              <w:pBdr>
                <w:top w:val="nil"/>
                <w:left w:val="nil"/>
                <w:bottom w:val="nil"/>
                <w:right w:val="nil"/>
                <w:between w:val="nil"/>
              </w:pBdr>
              <w:jc w:val="left"/>
            </w:pPr>
            <w:r>
              <w:t>The recognition procedures will be conducted in a transparent and organised manner to validate the participant's accomplishments and ensure that they have a record of their achievements for their future educational and professional endeavours.</w:t>
            </w:r>
          </w:p>
        </w:tc>
      </w:tr>
    </w:tbl>
    <w:p w14:paraId="65FC57ED" w14:textId="77777777" w:rsidR="00C16F43" w:rsidRDefault="00C16F43">
      <w:pPr>
        <w:jc w:val="left"/>
        <w:rPr>
          <w:b/>
        </w:rPr>
      </w:pPr>
    </w:p>
    <w:tbl>
      <w:tblPr>
        <w:tblStyle w:val="afd"/>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16F43" w14:paraId="727B9A64" w14:textId="77777777">
        <w:tc>
          <w:tcPr>
            <w:tcW w:w="8789" w:type="dxa"/>
            <w:vAlign w:val="center"/>
          </w:tcPr>
          <w:p w14:paraId="1CC5FCB0" w14:textId="77777777" w:rsidR="00C16F43" w:rsidRDefault="00FD42D2">
            <w:pPr>
              <w:pBdr>
                <w:top w:val="nil"/>
                <w:left w:val="nil"/>
                <w:bottom w:val="nil"/>
                <w:right w:val="nil"/>
                <w:between w:val="nil"/>
              </w:pBdr>
              <w:jc w:val="left"/>
              <w:rPr>
                <w:b/>
              </w:rPr>
            </w:pPr>
            <w:bookmarkStart w:id="2" w:name="_heading=h.30j0zll" w:colFirst="0" w:colLast="0"/>
            <w:bookmarkEnd w:id="2"/>
            <w:r>
              <w:rPr>
                <w:b/>
              </w:rPr>
              <w:t>Recognition documentation:</w:t>
            </w:r>
          </w:p>
        </w:tc>
      </w:tr>
      <w:tr w:rsidR="00C16F43" w14:paraId="46A80BDB" w14:textId="77777777">
        <w:trPr>
          <w:trHeight w:val="1077"/>
        </w:trPr>
        <w:tc>
          <w:tcPr>
            <w:tcW w:w="8789" w:type="dxa"/>
            <w:vAlign w:val="center"/>
          </w:tcPr>
          <w:p w14:paraId="0ADEDFD9" w14:textId="77777777" w:rsidR="00C16F43" w:rsidRDefault="00FD42D2">
            <w:pPr>
              <w:pBdr>
                <w:top w:val="nil"/>
                <w:left w:val="nil"/>
                <w:bottom w:val="nil"/>
                <w:right w:val="nil"/>
                <w:between w:val="nil"/>
              </w:pBdr>
              <w:jc w:val="left"/>
            </w:pPr>
            <w:r>
              <w:t>Recognition Documentation:</w:t>
            </w:r>
          </w:p>
          <w:p w14:paraId="233E4281" w14:textId="77777777" w:rsidR="00C16F43" w:rsidRDefault="00C16F43">
            <w:pPr>
              <w:pBdr>
                <w:top w:val="nil"/>
                <w:left w:val="nil"/>
                <w:bottom w:val="nil"/>
                <w:right w:val="nil"/>
                <w:between w:val="nil"/>
              </w:pBdr>
              <w:jc w:val="left"/>
            </w:pPr>
          </w:p>
          <w:p w14:paraId="268A0AF5" w14:textId="77777777" w:rsidR="00C16F43" w:rsidRDefault="00FD42D2">
            <w:pPr>
              <w:pBdr>
                <w:top w:val="nil"/>
                <w:left w:val="nil"/>
                <w:bottom w:val="nil"/>
                <w:right w:val="nil"/>
                <w:between w:val="nil"/>
              </w:pBdr>
              <w:jc w:val="left"/>
            </w:pPr>
            <w:r>
              <w:t>1. Certificate of Job Shadowing Mobility:</w:t>
            </w:r>
          </w:p>
          <w:p w14:paraId="18D32668" w14:textId="52FBCF4E" w:rsidR="00C16F43" w:rsidRDefault="00FD42D2">
            <w:pPr>
              <w:pBdr>
                <w:top w:val="nil"/>
                <w:left w:val="nil"/>
                <w:bottom w:val="nil"/>
                <w:right w:val="nil"/>
                <w:between w:val="nil"/>
              </w:pBdr>
              <w:jc w:val="left"/>
            </w:pPr>
            <w:r>
              <w:t xml:space="preserve">   - Issued by:</w:t>
            </w:r>
          </w:p>
          <w:p w14:paraId="77752F9B" w14:textId="3D391C34" w:rsidR="00C16F43" w:rsidRDefault="00FD42D2">
            <w:pPr>
              <w:pBdr>
                <w:top w:val="nil"/>
                <w:left w:val="nil"/>
                <w:bottom w:val="nil"/>
                <w:right w:val="nil"/>
                <w:between w:val="nil"/>
              </w:pBdr>
              <w:jc w:val="left"/>
            </w:pPr>
            <w:r>
              <w:t xml:space="preserve">   - Recipient: </w:t>
            </w:r>
          </w:p>
          <w:p w14:paraId="65B0469E" w14:textId="77777777" w:rsidR="00C16F43" w:rsidRDefault="00FD42D2">
            <w:pPr>
              <w:pBdr>
                <w:top w:val="nil"/>
                <w:left w:val="nil"/>
                <w:bottom w:val="nil"/>
                <w:right w:val="nil"/>
                <w:between w:val="nil"/>
              </w:pBdr>
              <w:jc w:val="left"/>
            </w:pPr>
            <w:r>
              <w:t xml:space="preserve">   - Timeframe: Issued upon successful completion of the mobility program.</w:t>
            </w:r>
          </w:p>
          <w:p w14:paraId="3691F83C" w14:textId="77777777" w:rsidR="00C16F43" w:rsidRDefault="00C16F43">
            <w:pPr>
              <w:pBdr>
                <w:top w:val="nil"/>
                <w:left w:val="nil"/>
                <w:bottom w:val="nil"/>
                <w:right w:val="nil"/>
                <w:between w:val="nil"/>
              </w:pBdr>
              <w:jc w:val="left"/>
            </w:pPr>
          </w:p>
          <w:p w14:paraId="18ECF1A9" w14:textId="77777777" w:rsidR="00C16F43" w:rsidRDefault="00FD42D2">
            <w:pPr>
              <w:pBdr>
                <w:top w:val="nil"/>
                <w:left w:val="nil"/>
                <w:bottom w:val="nil"/>
                <w:right w:val="nil"/>
                <w:between w:val="nil"/>
              </w:pBdr>
              <w:jc w:val="left"/>
            </w:pPr>
            <w:r>
              <w:t>2. Recognition Statement</w:t>
            </w:r>
          </w:p>
          <w:p w14:paraId="54FFAE65" w14:textId="62145583" w:rsidR="00C16F43" w:rsidRDefault="00FD42D2">
            <w:pPr>
              <w:pBdr>
                <w:top w:val="nil"/>
                <w:left w:val="nil"/>
                <w:bottom w:val="nil"/>
                <w:right w:val="nil"/>
                <w:between w:val="nil"/>
              </w:pBdr>
              <w:jc w:val="left"/>
            </w:pPr>
            <w:r>
              <w:t xml:space="preserve">   -Issued by:</w:t>
            </w:r>
          </w:p>
          <w:p w14:paraId="6FD235E6" w14:textId="41218005" w:rsidR="00C16F43" w:rsidRDefault="00FD42D2">
            <w:pPr>
              <w:pBdr>
                <w:top w:val="nil"/>
                <w:left w:val="nil"/>
                <w:bottom w:val="nil"/>
                <w:right w:val="nil"/>
                <w:between w:val="nil"/>
              </w:pBdr>
              <w:jc w:val="left"/>
            </w:pPr>
            <w:r>
              <w:t xml:space="preserve">   -Recipient: </w:t>
            </w:r>
          </w:p>
          <w:p w14:paraId="6E6AB742" w14:textId="77777777" w:rsidR="00C16F43" w:rsidRDefault="00FD42D2">
            <w:pPr>
              <w:pBdr>
                <w:top w:val="nil"/>
                <w:left w:val="nil"/>
                <w:bottom w:val="nil"/>
                <w:right w:val="nil"/>
                <w:between w:val="nil"/>
              </w:pBdr>
              <w:jc w:val="left"/>
            </w:pPr>
            <w:r>
              <w:t xml:space="preserve">   -Timeframe: Issued after review of the learning outcomes report, typically within a reasonable period following the completion of the program.</w:t>
            </w:r>
          </w:p>
          <w:p w14:paraId="0F053ED0" w14:textId="77777777" w:rsidR="00C16F43" w:rsidRDefault="00C16F43">
            <w:pPr>
              <w:pBdr>
                <w:top w:val="nil"/>
                <w:left w:val="nil"/>
                <w:bottom w:val="nil"/>
                <w:right w:val="nil"/>
                <w:between w:val="nil"/>
              </w:pBdr>
              <w:jc w:val="left"/>
            </w:pPr>
          </w:p>
          <w:p w14:paraId="57477153" w14:textId="77777777" w:rsidR="00C16F43" w:rsidRDefault="00FD42D2">
            <w:pPr>
              <w:pBdr>
                <w:top w:val="nil"/>
                <w:left w:val="nil"/>
                <w:bottom w:val="nil"/>
                <w:right w:val="nil"/>
                <w:between w:val="nil"/>
              </w:pBdr>
              <w:jc w:val="left"/>
            </w:pPr>
            <w:r>
              <w:t>3. Portfolio of Achievements (if applicable):</w:t>
            </w:r>
          </w:p>
          <w:p w14:paraId="6AD36D18" w14:textId="1DC678C8" w:rsidR="00C16F43" w:rsidRDefault="00FD42D2">
            <w:pPr>
              <w:pBdr>
                <w:top w:val="nil"/>
                <w:left w:val="nil"/>
                <w:bottom w:val="nil"/>
                <w:right w:val="nil"/>
                <w:between w:val="nil"/>
              </w:pBdr>
              <w:jc w:val="left"/>
            </w:pPr>
            <w:r>
              <w:t xml:space="preserve">   - Issued by: </w:t>
            </w:r>
          </w:p>
          <w:p w14:paraId="4C0D19CB" w14:textId="77777777" w:rsidR="00C16F43" w:rsidRDefault="00FD42D2">
            <w:pPr>
              <w:pBdr>
                <w:top w:val="nil"/>
                <w:left w:val="nil"/>
                <w:bottom w:val="nil"/>
                <w:right w:val="nil"/>
                <w:between w:val="nil"/>
              </w:pBdr>
              <w:jc w:val="left"/>
            </w:pPr>
            <w:r>
              <w:t xml:space="preserve">   - Recipient: Self (for personal record-keeping)</w:t>
            </w:r>
          </w:p>
          <w:p w14:paraId="2DA36620" w14:textId="77777777" w:rsidR="00C16F43" w:rsidRDefault="00FD42D2">
            <w:pPr>
              <w:pBdr>
                <w:top w:val="nil"/>
                <w:left w:val="nil"/>
                <w:bottom w:val="nil"/>
                <w:right w:val="nil"/>
                <w:between w:val="nil"/>
              </w:pBdr>
              <w:jc w:val="left"/>
            </w:pPr>
            <w:r>
              <w:t xml:space="preserve">   - Indicative Timeframe: Compiled and organised by the participants throughout the mobility program, available for future reference.</w:t>
            </w:r>
          </w:p>
          <w:p w14:paraId="7091AA3F" w14:textId="77777777" w:rsidR="00C16F43" w:rsidRDefault="00C16F43">
            <w:pPr>
              <w:pBdr>
                <w:top w:val="nil"/>
                <w:left w:val="nil"/>
                <w:bottom w:val="nil"/>
                <w:right w:val="nil"/>
                <w:between w:val="nil"/>
              </w:pBdr>
              <w:jc w:val="left"/>
            </w:pPr>
          </w:p>
          <w:p w14:paraId="1F3D1DD0" w14:textId="77777777" w:rsidR="00C16F43" w:rsidRDefault="00FD42D2">
            <w:pPr>
              <w:pBdr>
                <w:top w:val="nil"/>
                <w:left w:val="nil"/>
                <w:bottom w:val="nil"/>
                <w:right w:val="nil"/>
                <w:between w:val="nil"/>
              </w:pBdr>
              <w:jc w:val="left"/>
            </w:pPr>
            <w:r>
              <w:t>These recognition documents will serve to formally acknowledge and record the participant's learning outcomes, facilitating their continued educational and professional development. The issuance of these documents will follow a structured process to ensure accuracy and timeliness.</w:t>
            </w:r>
          </w:p>
          <w:p w14:paraId="06AD6FD6" w14:textId="77777777" w:rsidR="00C16F43" w:rsidRDefault="00C16F43">
            <w:pPr>
              <w:pBdr>
                <w:top w:val="nil"/>
                <w:left w:val="nil"/>
                <w:bottom w:val="nil"/>
                <w:right w:val="nil"/>
                <w:between w:val="nil"/>
              </w:pBdr>
              <w:jc w:val="left"/>
            </w:pPr>
          </w:p>
        </w:tc>
      </w:tr>
    </w:tbl>
    <w:p w14:paraId="37DBA35B" w14:textId="77777777" w:rsidR="00C16F43" w:rsidRDefault="00FD42D2">
      <w:pPr>
        <w:pStyle w:val="Naslov1"/>
        <w:numPr>
          <w:ilvl w:val="0"/>
          <w:numId w:val="3"/>
        </w:numPr>
      </w:pPr>
      <w:r>
        <w:t>Reintegration at the sending organisation</w:t>
      </w:r>
    </w:p>
    <w:p w14:paraId="0016A8E3" w14:textId="77777777" w:rsidR="00C16F43" w:rsidRDefault="00FD42D2">
      <w:pPr>
        <w:ind w:left="432" w:firstLine="288"/>
      </w:pPr>
      <w:r>
        <w:t>n/a</w:t>
      </w:r>
    </w:p>
    <w:p w14:paraId="0059C33E" w14:textId="77777777" w:rsidR="00C16F43" w:rsidRDefault="00FD42D2">
      <w:pPr>
        <w:pStyle w:val="Naslov1"/>
        <w:numPr>
          <w:ilvl w:val="0"/>
          <w:numId w:val="3"/>
        </w:numPr>
      </w:pPr>
      <w:r>
        <w:t>Additional provisions</w:t>
      </w:r>
    </w:p>
    <w:p w14:paraId="0EA3CC89" w14:textId="77777777" w:rsidR="00C16F43" w:rsidRDefault="00FD42D2">
      <w:pPr>
        <w:spacing w:before="240" w:after="240"/>
        <w:ind w:firstLine="720"/>
      </w:pPr>
      <w:r>
        <w:t>n/a</w:t>
      </w:r>
    </w:p>
    <w:p w14:paraId="3CEA6EF1" w14:textId="77777777" w:rsidR="00C16F43" w:rsidRDefault="00C16F43">
      <w:pPr>
        <w:spacing w:before="240" w:after="240"/>
        <w:ind w:firstLine="720"/>
      </w:pPr>
    </w:p>
    <w:p w14:paraId="08AEE9CC" w14:textId="77777777" w:rsidR="00C16F43" w:rsidRDefault="00C16F43">
      <w:pPr>
        <w:spacing w:before="240" w:after="240"/>
        <w:ind w:firstLine="720"/>
      </w:pPr>
    </w:p>
    <w:p w14:paraId="394BED35" w14:textId="77777777" w:rsidR="00C16F43" w:rsidRDefault="00C16F43">
      <w:pPr>
        <w:spacing w:before="240" w:after="240"/>
        <w:ind w:firstLine="720"/>
      </w:pPr>
    </w:p>
    <w:p w14:paraId="30D7E9A4" w14:textId="77777777" w:rsidR="00C16F43" w:rsidRDefault="00C16F43">
      <w:pPr>
        <w:spacing w:before="240" w:after="240"/>
        <w:ind w:firstLine="720"/>
      </w:pPr>
    </w:p>
    <w:p w14:paraId="662AF4D2" w14:textId="77777777" w:rsidR="00C16F43" w:rsidRDefault="00C16F43">
      <w:pPr>
        <w:spacing w:before="240" w:after="240"/>
        <w:ind w:firstLine="720"/>
      </w:pPr>
    </w:p>
    <w:p w14:paraId="18FEF7A1" w14:textId="77777777" w:rsidR="00C16F43" w:rsidRDefault="00C16F43">
      <w:pPr>
        <w:spacing w:before="240" w:after="240"/>
        <w:ind w:firstLine="720"/>
      </w:pPr>
    </w:p>
    <w:p w14:paraId="086E9F14" w14:textId="77777777" w:rsidR="00C16F43" w:rsidRDefault="00FD42D2">
      <w:pPr>
        <w:pStyle w:val="Naslov1"/>
        <w:numPr>
          <w:ilvl w:val="0"/>
          <w:numId w:val="2"/>
        </w:numPr>
      </w:pPr>
      <w:bookmarkStart w:id="3" w:name="_heading=h.eo5p6dw6pi0g" w:colFirst="0" w:colLast="0"/>
      <w:bookmarkEnd w:id="3"/>
      <w:r>
        <w:t>Signatures</w:t>
      </w:r>
    </w:p>
    <w:p w14:paraId="16D96F9A" w14:textId="77777777" w:rsidR="00C16F43" w:rsidRDefault="00FD42D2">
      <w:r>
        <w:t>The signatories confirm that they understood and approve the content of this agreement.</w:t>
      </w:r>
    </w:p>
    <w:p w14:paraId="2E9B164D" w14:textId="77777777" w:rsidR="00C16F43" w:rsidRDefault="00C16F43">
      <w:pPr>
        <w:rPr>
          <w:highlight w:val="lightGray"/>
        </w:rPr>
      </w:pPr>
    </w:p>
    <w:p w14:paraId="0EB35A06" w14:textId="77777777" w:rsidR="00C16F43" w:rsidRDefault="00C16F43">
      <w:pPr>
        <w:rPr>
          <w:rFonts w:ascii="Arial" w:eastAsia="Arial" w:hAnsi="Arial" w:cs="Arial"/>
        </w:rPr>
      </w:pPr>
    </w:p>
    <w:tbl>
      <w:tblPr>
        <w:tblStyle w:val="afe"/>
        <w:tblW w:w="4615"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6"/>
        <w:gridCol w:w="2321"/>
        <w:gridCol w:w="418"/>
      </w:tblGrid>
      <w:tr w:rsidR="00C16F43" w14:paraId="4B880F93" w14:textId="77777777">
        <w:trPr>
          <w:trHeight w:val="283"/>
        </w:trPr>
        <w:tc>
          <w:tcPr>
            <w:tcW w:w="4197" w:type="dxa"/>
            <w:gridSpan w:val="2"/>
            <w:vAlign w:val="center"/>
          </w:tcPr>
          <w:p w14:paraId="119147B0" w14:textId="77777777" w:rsidR="00C16F43" w:rsidRDefault="00FD42D2">
            <w:pPr>
              <w:jc w:val="left"/>
              <w:rPr>
                <w:b/>
              </w:rPr>
            </w:pPr>
            <w:r>
              <w:rPr>
                <w:b/>
              </w:rPr>
              <w:t>Participant</w:t>
            </w:r>
          </w:p>
        </w:tc>
        <w:tc>
          <w:tcPr>
            <w:tcW w:w="418" w:type="dxa"/>
            <w:tcBorders>
              <w:top w:val="nil"/>
              <w:bottom w:val="nil"/>
            </w:tcBorders>
          </w:tcPr>
          <w:p w14:paraId="0D77E490" w14:textId="77777777" w:rsidR="00C16F43" w:rsidRDefault="00C16F43">
            <w:pPr>
              <w:jc w:val="left"/>
              <w:rPr>
                <w:b/>
              </w:rPr>
            </w:pPr>
          </w:p>
        </w:tc>
      </w:tr>
      <w:tr w:rsidR="00C16F43" w14:paraId="23782378" w14:textId="77777777">
        <w:trPr>
          <w:trHeight w:val="454"/>
        </w:trPr>
        <w:tc>
          <w:tcPr>
            <w:tcW w:w="1876" w:type="dxa"/>
            <w:vAlign w:val="center"/>
          </w:tcPr>
          <w:p w14:paraId="3DCA5B23" w14:textId="77777777" w:rsidR="00C16F43" w:rsidRDefault="00FD42D2">
            <w:pPr>
              <w:jc w:val="left"/>
            </w:pPr>
            <w:r>
              <w:t>Full name:</w:t>
            </w:r>
          </w:p>
        </w:tc>
        <w:tc>
          <w:tcPr>
            <w:tcW w:w="2321" w:type="dxa"/>
            <w:vAlign w:val="center"/>
          </w:tcPr>
          <w:p w14:paraId="1717144D" w14:textId="14289E73" w:rsidR="00C16F43" w:rsidRDefault="00C16F43">
            <w:pPr>
              <w:jc w:val="left"/>
            </w:pPr>
          </w:p>
        </w:tc>
        <w:tc>
          <w:tcPr>
            <w:tcW w:w="418" w:type="dxa"/>
            <w:tcBorders>
              <w:top w:val="nil"/>
              <w:bottom w:val="nil"/>
            </w:tcBorders>
          </w:tcPr>
          <w:p w14:paraId="6B72857E" w14:textId="77777777" w:rsidR="00C16F43" w:rsidRDefault="00C16F43">
            <w:pPr>
              <w:jc w:val="left"/>
            </w:pPr>
          </w:p>
        </w:tc>
      </w:tr>
      <w:tr w:rsidR="00C16F43" w14:paraId="0E4EA4D2" w14:textId="77777777">
        <w:trPr>
          <w:trHeight w:val="454"/>
        </w:trPr>
        <w:tc>
          <w:tcPr>
            <w:tcW w:w="1876" w:type="dxa"/>
            <w:vAlign w:val="center"/>
          </w:tcPr>
          <w:p w14:paraId="52F56D43" w14:textId="77777777" w:rsidR="00C16F43" w:rsidRDefault="00FD42D2">
            <w:pPr>
              <w:jc w:val="left"/>
            </w:pPr>
            <w:r>
              <w:t>Date and place:</w:t>
            </w:r>
          </w:p>
        </w:tc>
        <w:tc>
          <w:tcPr>
            <w:tcW w:w="2321" w:type="dxa"/>
            <w:vAlign w:val="center"/>
          </w:tcPr>
          <w:p w14:paraId="00B2B084" w14:textId="5F567DE5" w:rsidR="00C16F43" w:rsidRDefault="00C16F43">
            <w:pPr>
              <w:jc w:val="left"/>
            </w:pPr>
          </w:p>
        </w:tc>
        <w:tc>
          <w:tcPr>
            <w:tcW w:w="418" w:type="dxa"/>
            <w:tcBorders>
              <w:top w:val="nil"/>
              <w:bottom w:val="nil"/>
            </w:tcBorders>
          </w:tcPr>
          <w:p w14:paraId="622A5D6A" w14:textId="77777777" w:rsidR="00C16F43" w:rsidRDefault="00C16F43">
            <w:pPr>
              <w:jc w:val="left"/>
            </w:pPr>
          </w:p>
        </w:tc>
      </w:tr>
      <w:tr w:rsidR="00C16F43" w14:paraId="6E33415B" w14:textId="77777777">
        <w:trPr>
          <w:trHeight w:val="454"/>
        </w:trPr>
        <w:tc>
          <w:tcPr>
            <w:tcW w:w="1876" w:type="dxa"/>
            <w:vAlign w:val="center"/>
          </w:tcPr>
          <w:p w14:paraId="7A15CE26" w14:textId="77777777" w:rsidR="00C16F43" w:rsidRDefault="00FD42D2">
            <w:pPr>
              <w:jc w:val="left"/>
            </w:pPr>
            <w:r>
              <w:t>Signature:</w:t>
            </w:r>
          </w:p>
        </w:tc>
        <w:tc>
          <w:tcPr>
            <w:tcW w:w="2321" w:type="dxa"/>
            <w:vAlign w:val="center"/>
          </w:tcPr>
          <w:p w14:paraId="31927B0C" w14:textId="77777777" w:rsidR="00C16F43" w:rsidRDefault="00C16F43">
            <w:pPr>
              <w:jc w:val="left"/>
            </w:pPr>
          </w:p>
        </w:tc>
        <w:tc>
          <w:tcPr>
            <w:tcW w:w="418" w:type="dxa"/>
            <w:tcBorders>
              <w:top w:val="nil"/>
              <w:bottom w:val="nil"/>
            </w:tcBorders>
          </w:tcPr>
          <w:p w14:paraId="5B873CC5" w14:textId="77777777" w:rsidR="00C16F43" w:rsidRDefault="00C16F43">
            <w:pPr>
              <w:jc w:val="left"/>
            </w:pPr>
          </w:p>
        </w:tc>
      </w:tr>
    </w:tbl>
    <w:p w14:paraId="3F5F4090" w14:textId="77777777" w:rsidR="00C16F43" w:rsidRDefault="00C16F43"/>
    <w:p w14:paraId="443C9B92" w14:textId="77777777" w:rsidR="00C16F43" w:rsidRDefault="00C16F43"/>
    <w:tbl>
      <w:tblPr>
        <w:tblStyle w:val="aff"/>
        <w:tblW w:w="8810"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6"/>
        <w:gridCol w:w="2321"/>
        <w:gridCol w:w="418"/>
        <w:gridCol w:w="1871"/>
        <w:gridCol w:w="2324"/>
      </w:tblGrid>
      <w:tr w:rsidR="00C16F43" w14:paraId="547F8A07" w14:textId="77777777">
        <w:trPr>
          <w:trHeight w:val="283"/>
        </w:trPr>
        <w:tc>
          <w:tcPr>
            <w:tcW w:w="4197" w:type="dxa"/>
            <w:gridSpan w:val="2"/>
            <w:vAlign w:val="center"/>
          </w:tcPr>
          <w:p w14:paraId="6428FFE9" w14:textId="77777777" w:rsidR="00C16F43" w:rsidRDefault="00FD42D2">
            <w:pPr>
              <w:jc w:val="left"/>
              <w:rPr>
                <w:b/>
              </w:rPr>
            </w:pPr>
            <w:r>
              <w:rPr>
                <w:b/>
              </w:rPr>
              <w:t>For sending organisation</w:t>
            </w:r>
          </w:p>
        </w:tc>
        <w:tc>
          <w:tcPr>
            <w:tcW w:w="418" w:type="dxa"/>
            <w:tcBorders>
              <w:top w:val="nil"/>
              <w:bottom w:val="nil"/>
            </w:tcBorders>
          </w:tcPr>
          <w:p w14:paraId="13EE7F9D" w14:textId="77777777" w:rsidR="00C16F43" w:rsidRDefault="00C16F43">
            <w:pPr>
              <w:jc w:val="left"/>
              <w:rPr>
                <w:b/>
              </w:rPr>
            </w:pPr>
          </w:p>
        </w:tc>
        <w:tc>
          <w:tcPr>
            <w:tcW w:w="4195" w:type="dxa"/>
            <w:gridSpan w:val="2"/>
          </w:tcPr>
          <w:p w14:paraId="3FA26813" w14:textId="77777777" w:rsidR="00C16F43" w:rsidRDefault="00FD42D2">
            <w:pPr>
              <w:jc w:val="left"/>
              <w:rPr>
                <w:b/>
              </w:rPr>
            </w:pPr>
            <w:r>
              <w:rPr>
                <w:b/>
              </w:rPr>
              <w:t>For hosting organisation</w:t>
            </w:r>
          </w:p>
        </w:tc>
      </w:tr>
      <w:tr w:rsidR="00C16F43" w14:paraId="413F844F" w14:textId="77777777">
        <w:trPr>
          <w:trHeight w:val="454"/>
        </w:trPr>
        <w:tc>
          <w:tcPr>
            <w:tcW w:w="1876" w:type="dxa"/>
            <w:vAlign w:val="center"/>
          </w:tcPr>
          <w:p w14:paraId="3BDF0250" w14:textId="77777777" w:rsidR="00C16F43" w:rsidRDefault="00FD42D2">
            <w:pPr>
              <w:jc w:val="left"/>
            </w:pPr>
            <w:r>
              <w:t>Full name:</w:t>
            </w:r>
          </w:p>
        </w:tc>
        <w:tc>
          <w:tcPr>
            <w:tcW w:w="2321" w:type="dxa"/>
            <w:vAlign w:val="center"/>
          </w:tcPr>
          <w:p w14:paraId="756893BF" w14:textId="0E737FF4" w:rsidR="00C16F43" w:rsidRDefault="00C16F43">
            <w:pPr>
              <w:jc w:val="left"/>
            </w:pPr>
          </w:p>
        </w:tc>
        <w:tc>
          <w:tcPr>
            <w:tcW w:w="418" w:type="dxa"/>
            <w:tcBorders>
              <w:top w:val="nil"/>
              <w:bottom w:val="nil"/>
            </w:tcBorders>
          </w:tcPr>
          <w:p w14:paraId="47F8FAAD" w14:textId="77777777" w:rsidR="00C16F43" w:rsidRDefault="00C16F43">
            <w:pPr>
              <w:jc w:val="left"/>
            </w:pPr>
          </w:p>
        </w:tc>
        <w:tc>
          <w:tcPr>
            <w:tcW w:w="1871" w:type="dxa"/>
            <w:vAlign w:val="center"/>
          </w:tcPr>
          <w:p w14:paraId="35B59517" w14:textId="77777777" w:rsidR="00C16F43" w:rsidRDefault="00FD42D2">
            <w:pPr>
              <w:jc w:val="left"/>
            </w:pPr>
            <w:r>
              <w:t>Full name:</w:t>
            </w:r>
          </w:p>
        </w:tc>
        <w:tc>
          <w:tcPr>
            <w:tcW w:w="2324" w:type="dxa"/>
            <w:vAlign w:val="center"/>
          </w:tcPr>
          <w:p w14:paraId="12256FD2" w14:textId="50473473" w:rsidR="00C16F43" w:rsidRDefault="00C16F43">
            <w:pPr>
              <w:jc w:val="left"/>
            </w:pPr>
          </w:p>
        </w:tc>
      </w:tr>
      <w:tr w:rsidR="00C16F43" w14:paraId="41D934D1" w14:textId="77777777">
        <w:trPr>
          <w:trHeight w:val="454"/>
        </w:trPr>
        <w:tc>
          <w:tcPr>
            <w:tcW w:w="1876" w:type="dxa"/>
            <w:vAlign w:val="center"/>
          </w:tcPr>
          <w:p w14:paraId="3CC3AD4E" w14:textId="77777777" w:rsidR="00C16F43" w:rsidRDefault="00FD42D2">
            <w:pPr>
              <w:jc w:val="left"/>
            </w:pPr>
            <w:r>
              <w:t>Position:</w:t>
            </w:r>
          </w:p>
        </w:tc>
        <w:tc>
          <w:tcPr>
            <w:tcW w:w="2321" w:type="dxa"/>
            <w:vAlign w:val="center"/>
          </w:tcPr>
          <w:p w14:paraId="39DC64AD" w14:textId="0000604D" w:rsidR="00C16F43" w:rsidRDefault="00C16F43">
            <w:pPr>
              <w:jc w:val="left"/>
            </w:pPr>
          </w:p>
        </w:tc>
        <w:tc>
          <w:tcPr>
            <w:tcW w:w="418" w:type="dxa"/>
            <w:tcBorders>
              <w:top w:val="nil"/>
              <w:bottom w:val="nil"/>
            </w:tcBorders>
          </w:tcPr>
          <w:p w14:paraId="570F046F" w14:textId="77777777" w:rsidR="00C16F43" w:rsidRDefault="00C16F43">
            <w:pPr>
              <w:jc w:val="left"/>
            </w:pPr>
          </w:p>
        </w:tc>
        <w:tc>
          <w:tcPr>
            <w:tcW w:w="1871" w:type="dxa"/>
            <w:vAlign w:val="center"/>
          </w:tcPr>
          <w:p w14:paraId="7629EA04" w14:textId="77777777" w:rsidR="00C16F43" w:rsidRDefault="00FD42D2">
            <w:pPr>
              <w:jc w:val="left"/>
            </w:pPr>
            <w:r>
              <w:t>Position:</w:t>
            </w:r>
          </w:p>
        </w:tc>
        <w:tc>
          <w:tcPr>
            <w:tcW w:w="2324" w:type="dxa"/>
            <w:vAlign w:val="center"/>
          </w:tcPr>
          <w:p w14:paraId="41039789" w14:textId="0390422C" w:rsidR="00C16F43" w:rsidRDefault="00C16F43">
            <w:pPr>
              <w:jc w:val="left"/>
            </w:pPr>
          </w:p>
        </w:tc>
      </w:tr>
      <w:tr w:rsidR="00C16F43" w14:paraId="334C2790" w14:textId="77777777">
        <w:trPr>
          <w:trHeight w:val="454"/>
        </w:trPr>
        <w:tc>
          <w:tcPr>
            <w:tcW w:w="1876" w:type="dxa"/>
            <w:vAlign w:val="center"/>
          </w:tcPr>
          <w:p w14:paraId="44CC0BCB" w14:textId="77777777" w:rsidR="00C16F43" w:rsidRDefault="00FD42D2">
            <w:pPr>
              <w:jc w:val="left"/>
            </w:pPr>
            <w:r>
              <w:t>Date and place:</w:t>
            </w:r>
          </w:p>
        </w:tc>
        <w:tc>
          <w:tcPr>
            <w:tcW w:w="2321" w:type="dxa"/>
            <w:vAlign w:val="center"/>
          </w:tcPr>
          <w:p w14:paraId="4458B58F" w14:textId="7BD54C4E" w:rsidR="00C16F43" w:rsidRDefault="00C16F43">
            <w:pPr>
              <w:jc w:val="left"/>
            </w:pPr>
          </w:p>
        </w:tc>
        <w:tc>
          <w:tcPr>
            <w:tcW w:w="418" w:type="dxa"/>
            <w:tcBorders>
              <w:top w:val="nil"/>
              <w:bottom w:val="nil"/>
            </w:tcBorders>
          </w:tcPr>
          <w:p w14:paraId="1A3A0FAF" w14:textId="77777777" w:rsidR="00C16F43" w:rsidRDefault="00C16F43">
            <w:pPr>
              <w:jc w:val="left"/>
            </w:pPr>
          </w:p>
        </w:tc>
        <w:tc>
          <w:tcPr>
            <w:tcW w:w="1871" w:type="dxa"/>
            <w:vAlign w:val="center"/>
          </w:tcPr>
          <w:p w14:paraId="40787328" w14:textId="77777777" w:rsidR="00C16F43" w:rsidRDefault="00FD42D2">
            <w:pPr>
              <w:jc w:val="left"/>
            </w:pPr>
            <w:r>
              <w:t>Date and place:</w:t>
            </w:r>
          </w:p>
        </w:tc>
        <w:tc>
          <w:tcPr>
            <w:tcW w:w="2324" w:type="dxa"/>
            <w:vAlign w:val="center"/>
          </w:tcPr>
          <w:p w14:paraId="16180A34" w14:textId="2F524E3D" w:rsidR="00C16F43" w:rsidRDefault="00C16F43">
            <w:pPr>
              <w:jc w:val="left"/>
            </w:pPr>
          </w:p>
        </w:tc>
      </w:tr>
      <w:tr w:rsidR="00C16F43" w14:paraId="700CAFBB" w14:textId="77777777">
        <w:trPr>
          <w:trHeight w:val="454"/>
        </w:trPr>
        <w:tc>
          <w:tcPr>
            <w:tcW w:w="1876" w:type="dxa"/>
            <w:vAlign w:val="center"/>
          </w:tcPr>
          <w:p w14:paraId="0B967B69" w14:textId="77777777" w:rsidR="00C16F43" w:rsidRDefault="00FD42D2">
            <w:pPr>
              <w:jc w:val="left"/>
            </w:pPr>
            <w:r>
              <w:t>Signature:</w:t>
            </w:r>
          </w:p>
        </w:tc>
        <w:tc>
          <w:tcPr>
            <w:tcW w:w="2321" w:type="dxa"/>
            <w:vAlign w:val="center"/>
          </w:tcPr>
          <w:p w14:paraId="2709122F" w14:textId="77777777" w:rsidR="00C16F43" w:rsidRDefault="00C16F43">
            <w:pPr>
              <w:jc w:val="left"/>
            </w:pPr>
          </w:p>
        </w:tc>
        <w:tc>
          <w:tcPr>
            <w:tcW w:w="418" w:type="dxa"/>
            <w:tcBorders>
              <w:top w:val="nil"/>
              <w:bottom w:val="nil"/>
            </w:tcBorders>
          </w:tcPr>
          <w:p w14:paraId="220B60E7" w14:textId="77777777" w:rsidR="00C16F43" w:rsidRDefault="00C16F43">
            <w:pPr>
              <w:jc w:val="left"/>
            </w:pPr>
          </w:p>
        </w:tc>
        <w:tc>
          <w:tcPr>
            <w:tcW w:w="1871" w:type="dxa"/>
            <w:vAlign w:val="center"/>
          </w:tcPr>
          <w:p w14:paraId="299150DE" w14:textId="77777777" w:rsidR="00C16F43" w:rsidRDefault="00FD42D2">
            <w:pPr>
              <w:jc w:val="left"/>
            </w:pPr>
            <w:r>
              <w:t>Signature:</w:t>
            </w:r>
          </w:p>
        </w:tc>
        <w:tc>
          <w:tcPr>
            <w:tcW w:w="2324" w:type="dxa"/>
            <w:vAlign w:val="center"/>
          </w:tcPr>
          <w:p w14:paraId="46D80B0C" w14:textId="77777777" w:rsidR="00C16F43" w:rsidRDefault="00C16F43">
            <w:pPr>
              <w:jc w:val="left"/>
            </w:pPr>
          </w:p>
          <w:p w14:paraId="692CA040" w14:textId="77777777" w:rsidR="00C16F43" w:rsidRDefault="00C16F43">
            <w:pPr>
              <w:jc w:val="left"/>
            </w:pPr>
          </w:p>
        </w:tc>
      </w:tr>
    </w:tbl>
    <w:p w14:paraId="31BE9C22" w14:textId="77777777" w:rsidR="00C16F43" w:rsidRDefault="00C16F43">
      <w:pPr>
        <w:spacing w:before="240" w:after="240"/>
      </w:pPr>
    </w:p>
    <w:p w14:paraId="7878A049" w14:textId="77777777" w:rsidR="00C16F43" w:rsidRDefault="00C16F43">
      <w:pPr>
        <w:spacing w:before="240" w:after="240"/>
      </w:pPr>
    </w:p>
    <w:sectPr w:rsidR="00C16F43">
      <w:headerReference w:type="even" r:id="rId11"/>
      <w:headerReference w:type="default" r:id="rId12"/>
      <w:footerReference w:type="even" r:id="rId13"/>
      <w:footerReference w:type="default" r:id="rId14"/>
      <w:headerReference w:type="first" r:id="rId15"/>
      <w:footerReference w:type="first" r:id="rId16"/>
      <w:pgSz w:w="11907" w:h="16840"/>
      <w:pgMar w:top="1985" w:right="1418" w:bottom="1134" w:left="1418" w:header="68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80C8E" w14:textId="77777777" w:rsidR="000A2CEF" w:rsidRDefault="000A2CEF">
      <w:r>
        <w:separator/>
      </w:r>
    </w:p>
  </w:endnote>
  <w:endnote w:type="continuationSeparator" w:id="0">
    <w:p w14:paraId="435CA0E1" w14:textId="77777777" w:rsidR="000A2CEF" w:rsidRDefault="000A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0A15" w14:textId="77777777" w:rsidR="00C16F43" w:rsidRDefault="00FD42D2">
    <w:pPr>
      <w:pBdr>
        <w:top w:val="single" w:sz="4" w:space="1" w:color="808080"/>
        <w:left w:val="nil"/>
        <w:bottom w:val="nil"/>
        <w:right w:val="nil"/>
        <w:between w:val="nil"/>
      </w:pBdr>
      <w:tabs>
        <w:tab w:val="center" w:pos="4153"/>
        <w:tab w:val="right" w:pos="8306"/>
      </w:tabs>
      <w:jc w:val="left"/>
      <w:rPr>
        <w:i/>
      </w:rPr>
    </w:pPr>
    <w:r>
      <w:rPr>
        <w:i/>
      </w:rPr>
      <w:fldChar w:fldCharType="begin"/>
    </w:r>
    <w:r>
      <w:rPr>
        <w:i/>
      </w:rPr>
      <w:instrText>PAGE</w:instrText>
    </w:r>
    <w:r>
      <w:rPr>
        <w:i/>
      </w:rPr>
      <w:fldChar w:fldCharType="end"/>
    </w:r>
  </w:p>
  <w:p w14:paraId="6951B027" w14:textId="77777777" w:rsidR="00C16F43" w:rsidRDefault="00FD42D2">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r>
      <w:rPr>
        <w:i/>
        <w:color w:val="404040"/>
        <w:sz w:val="16"/>
        <w:szCs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5DE89" w14:textId="5F4BF40D" w:rsidR="00C16F43" w:rsidRDefault="00FD42D2">
    <w:pPr>
      <w:pBdr>
        <w:top w:val="single" w:sz="4" w:space="1" w:color="808080"/>
        <w:left w:val="nil"/>
        <w:bottom w:val="nil"/>
        <w:right w:val="nil"/>
        <w:between w:val="nil"/>
      </w:pBdr>
      <w:tabs>
        <w:tab w:val="center" w:pos="4153"/>
        <w:tab w:val="right" w:pos="8306"/>
      </w:tabs>
      <w:jc w:val="center"/>
    </w:pPr>
    <w:r>
      <w:fldChar w:fldCharType="begin"/>
    </w:r>
    <w:r>
      <w:instrText>PAGE</w:instrText>
    </w:r>
    <w:r>
      <w:fldChar w:fldCharType="separate"/>
    </w:r>
    <w:r w:rsidR="00174321">
      <w:rPr>
        <w:noProof/>
      </w:rPr>
      <w:t>4</w:t>
    </w:r>
    <w:r>
      <w:fldChar w:fldCharType="end"/>
    </w:r>
  </w:p>
  <w:p w14:paraId="5586F493" w14:textId="77777777" w:rsidR="00C16F43" w:rsidRDefault="00FD42D2">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9956" w14:textId="77777777" w:rsidR="00C16F43" w:rsidRDefault="00C16F43">
    <w:pPr>
      <w:pBdr>
        <w:top w:val="nil"/>
        <w:left w:val="nil"/>
        <w:bottom w:val="nil"/>
        <w:right w:val="nil"/>
        <w:between w:val="nil"/>
      </w:pBdr>
      <w:tabs>
        <w:tab w:val="center" w:pos="4153"/>
        <w:tab w:val="right" w:pos="8306"/>
      </w:tabs>
      <w:jc w:val="right"/>
      <w:rPr>
        <w:i/>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49A21" w14:textId="77777777" w:rsidR="000A2CEF" w:rsidRDefault="000A2CEF">
      <w:r>
        <w:separator/>
      </w:r>
    </w:p>
  </w:footnote>
  <w:footnote w:type="continuationSeparator" w:id="0">
    <w:p w14:paraId="64B529CA" w14:textId="77777777" w:rsidR="000A2CEF" w:rsidRDefault="000A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0AF03" w14:textId="77777777" w:rsidR="00C16F43" w:rsidRDefault="00C16F43">
    <w:pPr>
      <w:pBdr>
        <w:top w:val="nil"/>
        <w:left w:val="nil"/>
        <w:bottom w:val="nil"/>
        <w:right w:val="nil"/>
        <w:between w:val="nil"/>
      </w:pBdr>
      <w:tabs>
        <w:tab w:val="center" w:pos="4153"/>
        <w:tab w:val="right" w:pos="8306"/>
      </w:tabs>
      <w:jc w:val="right"/>
      <w:rPr>
        <w:color w:val="FF0000"/>
        <w:sz w:val="16"/>
        <w:szCs w:val="16"/>
      </w:rPr>
    </w:pPr>
  </w:p>
  <w:p w14:paraId="7A26E878" w14:textId="77777777" w:rsidR="00C16F43" w:rsidRDefault="00C16F43">
    <w:pPr>
      <w:pBdr>
        <w:top w:val="nil"/>
        <w:left w:val="nil"/>
        <w:bottom w:val="nil"/>
        <w:right w:val="nil"/>
        <w:between w:val="nil"/>
      </w:pBdr>
      <w:tabs>
        <w:tab w:val="center" w:pos="4153"/>
        <w:tab w:val="right" w:pos="8306"/>
      </w:tabs>
      <w:jc w:val="right"/>
      <w:rPr>
        <w:color w:val="FF0000"/>
        <w:sz w:val="16"/>
        <w:szCs w:val="16"/>
      </w:rPr>
    </w:pPr>
  </w:p>
  <w:p w14:paraId="41B13064" w14:textId="77777777" w:rsidR="00C16F43" w:rsidRDefault="00FD42D2">
    <w:pPr>
      <w:pBdr>
        <w:top w:val="nil"/>
        <w:left w:val="nil"/>
        <w:bottom w:val="nil"/>
        <w:right w:val="nil"/>
        <w:between w:val="nil"/>
      </w:pBdr>
      <w:tabs>
        <w:tab w:val="center" w:pos="4153"/>
        <w:tab w:val="right" w:pos="8306"/>
      </w:tabs>
      <w:ind w:left="167" w:firstLine="4153"/>
      <w:jc w:val="right"/>
      <w:rPr>
        <w:color w:val="000000"/>
        <w:sz w:val="16"/>
        <w:szCs w:val="16"/>
      </w:rPr>
    </w:pPr>
    <w:r>
      <w:rPr>
        <w:noProof/>
        <w:color w:val="000000"/>
        <w:sz w:val="16"/>
        <w:szCs w:val="16"/>
        <w:lang w:val="hr-HR" w:eastAsia="hr-HR"/>
      </w:rPr>
      <w:drawing>
        <wp:anchor distT="0" distB="0" distL="114300" distR="114300" simplePos="0" relativeHeight="251659264" behindDoc="0" locked="0" layoutInCell="1" hidden="0" allowOverlap="1" wp14:anchorId="59CF5EBC" wp14:editId="03722CE4">
          <wp:simplePos x="0" y="0"/>
          <wp:positionH relativeFrom="margin">
            <wp:align>left</wp:align>
          </wp:positionH>
          <wp:positionV relativeFrom="page">
            <wp:posOffset>466725</wp:posOffset>
          </wp:positionV>
          <wp:extent cx="1677600" cy="4392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77600" cy="439200"/>
                  </a:xfrm>
                  <a:prstGeom prst="rect">
                    <a:avLst/>
                  </a:prstGeom>
                  <a:ln/>
                </pic:spPr>
              </pic:pic>
            </a:graphicData>
          </a:graphic>
        </wp:anchor>
      </w:drawing>
    </w:r>
    <w:r>
      <w:rPr>
        <w:noProof/>
        <w:color w:val="000000"/>
        <w:sz w:val="16"/>
        <w:szCs w:val="16"/>
        <w:lang w:val="hr-HR" w:eastAsia="hr-HR"/>
      </w:rPr>
      <mc:AlternateContent>
        <mc:Choice Requires="wpg">
          <w:drawing>
            <wp:anchor distT="0" distB="0" distL="114300" distR="114300" simplePos="0" relativeHeight="251660288" behindDoc="0" locked="0" layoutInCell="1" hidden="0" allowOverlap="1" wp14:anchorId="4E30CB18" wp14:editId="40EC2E43">
              <wp:simplePos x="0" y="0"/>
              <wp:positionH relativeFrom="page">
                <wp:posOffset>876301</wp:posOffset>
              </wp:positionH>
              <wp:positionV relativeFrom="page">
                <wp:posOffset>965650</wp:posOffset>
              </wp:positionV>
              <wp:extent cx="5777703"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2466674" y="3780000"/>
                        <a:ext cx="5758653"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page">
                <wp:posOffset>876301</wp:posOffset>
              </wp:positionH>
              <wp:positionV relativeFrom="page">
                <wp:posOffset>965650</wp:posOffset>
              </wp:positionV>
              <wp:extent cx="5777703" cy="3175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777703" cy="31750"/>
                      </a:xfrm>
                      <a:prstGeom prst="rect"/>
                      <a:ln/>
                    </pic:spPr>
                  </pic:pic>
                </a:graphicData>
              </a:graphic>
            </wp:anchor>
          </w:drawing>
        </mc:Fallback>
      </mc:AlternateContent>
    </w:r>
    <w:r>
      <w:rPr>
        <w:color w:val="000000"/>
        <w:sz w:val="16"/>
        <w:szCs w:val="16"/>
      </w:rPr>
      <w:t xml:space="preserve"> Call for accreditation - EAC/A01/2020</w:t>
    </w:r>
  </w:p>
  <w:p w14:paraId="459A3C47" w14:textId="77777777" w:rsidR="00C16F43" w:rsidRDefault="00FD42D2">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Rules of application / Annex I</w:t>
    </w:r>
    <w:r>
      <w:rPr>
        <w:noProof/>
        <w:color w:val="000000"/>
        <w:sz w:val="16"/>
        <w:szCs w:val="16"/>
        <w:lang w:val="hr-HR" w:eastAsia="hr-HR"/>
      </w:rPr>
      <w:drawing>
        <wp:anchor distT="0" distB="0" distL="114300" distR="114300" simplePos="0" relativeHeight="251661312" behindDoc="0" locked="0" layoutInCell="1" hidden="0" allowOverlap="1" wp14:anchorId="3FB79250" wp14:editId="0074D5F7">
          <wp:simplePos x="0" y="0"/>
          <wp:positionH relativeFrom="margin">
            <wp:align>left</wp:align>
          </wp:positionH>
          <wp:positionV relativeFrom="page">
            <wp:posOffset>467994</wp:posOffset>
          </wp:positionV>
          <wp:extent cx="1681200" cy="4356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681200" cy="435600"/>
                  </a:xfrm>
                  <a:prstGeom prst="rect">
                    <a:avLst/>
                  </a:prstGeom>
                  <a:ln/>
                </pic:spPr>
              </pic:pic>
            </a:graphicData>
          </a:graphic>
        </wp:anchor>
      </w:drawing>
    </w:r>
    <w:r>
      <w:rPr>
        <w:noProof/>
        <w:color w:val="000000"/>
        <w:sz w:val="16"/>
        <w:szCs w:val="16"/>
        <w:lang w:val="hr-HR" w:eastAsia="hr-HR"/>
      </w:rPr>
      <mc:AlternateContent>
        <mc:Choice Requires="wpg">
          <w:drawing>
            <wp:anchor distT="0" distB="0" distL="114300" distR="114300" simplePos="0" relativeHeight="251662336" behindDoc="0" locked="0" layoutInCell="1" hidden="0" allowOverlap="1" wp14:anchorId="1D412279" wp14:editId="66D44935">
              <wp:simplePos x="0" y="0"/>
              <wp:positionH relativeFrom="margin">
                <wp:align>left</wp:align>
              </wp:positionH>
              <wp:positionV relativeFrom="page">
                <wp:posOffset>956311</wp:posOffset>
              </wp:positionV>
              <wp:extent cx="5779050" cy="31750"/>
              <wp:effectExtent l="0" t="0" r="0" b="0"/>
              <wp:wrapNone/>
              <wp:docPr id="3" name="Straight Arrow Connector 3"/>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margin">
                <wp:align>left</wp:align>
              </wp:positionH>
              <wp:positionV relativeFrom="page">
                <wp:posOffset>956311</wp:posOffset>
              </wp:positionV>
              <wp:extent cx="5779050" cy="31750"/>
              <wp:effectExtent b="0" l="0" r="0" t="0"/>
              <wp:wrapNone/>
              <wp:docPr id="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5779050" cy="317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CA12" w14:textId="77777777" w:rsidR="00C16F43" w:rsidRDefault="00C16F43">
    <w:pPr>
      <w:pBdr>
        <w:top w:val="nil"/>
        <w:left w:val="nil"/>
        <w:bottom w:val="nil"/>
        <w:right w:val="nil"/>
        <w:between w:val="nil"/>
      </w:pBdr>
      <w:tabs>
        <w:tab w:val="center" w:pos="4153"/>
        <w:tab w:val="right" w:pos="8306"/>
      </w:tabs>
      <w:rPr>
        <w:color w:val="FF0000"/>
        <w:sz w:val="16"/>
        <w:szCs w:val="16"/>
      </w:rPr>
    </w:pPr>
  </w:p>
  <w:p w14:paraId="5F19D7AC" w14:textId="77777777" w:rsidR="00C16F43" w:rsidRDefault="00FD42D2">
    <w:pPr>
      <w:pBdr>
        <w:top w:val="nil"/>
        <w:left w:val="nil"/>
        <w:bottom w:val="nil"/>
        <w:right w:val="nil"/>
        <w:between w:val="nil"/>
      </w:pBdr>
      <w:tabs>
        <w:tab w:val="center" w:pos="4153"/>
        <w:tab w:val="right" w:pos="8306"/>
      </w:tabs>
      <w:rPr>
        <w:color w:val="000000"/>
        <w:sz w:val="16"/>
        <w:szCs w:val="16"/>
      </w:rPr>
    </w:pPr>
    <w:r>
      <w:rPr>
        <w:color w:val="000000"/>
        <w:sz w:val="16"/>
        <w:szCs w:val="16"/>
      </w:rPr>
      <w:t>Erasmus+ learning agreement: Job Shadowing</w:t>
    </w:r>
  </w:p>
  <w:p w14:paraId="7D73D818" w14:textId="77777777" w:rsidR="00C16F43" w:rsidRDefault="00FD42D2">
    <w:pPr>
      <w:pBdr>
        <w:top w:val="nil"/>
        <w:left w:val="nil"/>
        <w:bottom w:val="nil"/>
        <w:right w:val="nil"/>
        <w:between w:val="nil"/>
      </w:pBdr>
      <w:tabs>
        <w:tab w:val="center" w:pos="4153"/>
        <w:tab w:val="right" w:pos="8306"/>
      </w:tabs>
      <w:rPr>
        <w:color w:val="000000"/>
        <w:sz w:val="16"/>
        <w:szCs w:val="16"/>
      </w:rPr>
    </w:pPr>
    <w:r>
      <w:rPr>
        <w:color w:val="000000"/>
        <w:sz w:val="16"/>
        <w:szCs w:val="16"/>
      </w:rPr>
      <w:t xml:space="preserve">Mobility ID:4146-MOB-0004 </w:t>
    </w:r>
  </w:p>
  <w:p w14:paraId="6035FF29" w14:textId="19408501" w:rsidR="00C16F43" w:rsidRDefault="00FD42D2">
    <w:pPr>
      <w:pBdr>
        <w:top w:val="nil"/>
        <w:left w:val="nil"/>
        <w:bottom w:val="nil"/>
        <w:right w:val="nil"/>
        <w:between w:val="nil"/>
      </w:pBdr>
      <w:tabs>
        <w:tab w:val="center" w:pos="4153"/>
        <w:tab w:val="right" w:pos="8306"/>
      </w:tabs>
      <w:rPr>
        <w:i/>
        <w:color w:val="000000"/>
        <w:sz w:val="16"/>
        <w:szCs w:val="16"/>
      </w:rPr>
    </w:pPr>
    <w:r>
      <w:rPr>
        <w:color w:val="000000"/>
        <w:sz w:val="16"/>
        <w:szCs w:val="16"/>
      </w:rPr>
      <w:t xml:space="preserve">Project code: </w:t>
    </w:r>
    <w:r>
      <w:rPr>
        <w:i/>
        <w:noProof/>
        <w:color w:val="000000"/>
        <w:sz w:val="16"/>
        <w:szCs w:val="16"/>
        <w:lang w:val="hr-HR" w:eastAsia="hr-HR"/>
      </w:rPr>
      <mc:AlternateContent>
        <mc:Choice Requires="wpg">
          <w:drawing>
            <wp:anchor distT="0" distB="0" distL="114300" distR="114300" simplePos="0" relativeHeight="251658240" behindDoc="0" locked="0" layoutInCell="1" hidden="0" allowOverlap="1" wp14:anchorId="79096602" wp14:editId="789B4499">
              <wp:simplePos x="0" y="0"/>
              <wp:positionH relativeFrom="margin">
                <wp:align>right</wp:align>
              </wp:positionH>
              <wp:positionV relativeFrom="page">
                <wp:posOffset>956311</wp:posOffset>
              </wp:positionV>
              <wp:extent cx="5779050" cy="31750"/>
              <wp:effectExtent l="0" t="0" r="0" b="0"/>
              <wp:wrapNone/>
              <wp:docPr id="2" name="Straight Arrow Connector 2"/>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margin">
                <wp:align>right</wp:align>
              </wp:positionH>
              <wp:positionV relativeFrom="page">
                <wp:posOffset>956311</wp:posOffset>
              </wp:positionV>
              <wp:extent cx="5779050" cy="3175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79050" cy="31750"/>
                      </a:xfrm>
                      <a:prstGeom prst="rect"/>
                      <a:ln/>
                    </pic:spPr>
                  </pic:pic>
                </a:graphicData>
              </a:graphic>
            </wp:anchor>
          </w:drawing>
        </mc:Fallback>
      </mc:AlternateContent>
    </w:r>
    <w:r w:rsidR="00CB1C3D">
      <w:rPr>
        <w:color w:val="000000"/>
        <w:sz w:val="16"/>
        <w:szCs w:val="16"/>
      </w:rPr>
      <w:t>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EA220" w14:textId="77777777" w:rsidR="00C16F43" w:rsidRDefault="00FD42D2">
    <w:pPr>
      <w:pBdr>
        <w:top w:val="nil"/>
        <w:left w:val="nil"/>
        <w:bottom w:val="nil"/>
        <w:right w:val="nil"/>
        <w:between w:val="nil"/>
      </w:pBdr>
      <w:tabs>
        <w:tab w:val="center" w:pos="4153"/>
        <w:tab w:val="right" w:pos="8306"/>
      </w:tabs>
      <w:rPr>
        <w:b/>
        <w:color w:val="000000"/>
        <w:sz w:val="16"/>
        <w:szCs w:val="16"/>
      </w:rPr>
    </w:pPr>
    <w:r>
      <w:rPr>
        <w:b/>
        <w:color w:val="000000"/>
        <w:sz w:val="16"/>
        <w:szCs w:val="16"/>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351"/>
    <w:multiLevelType w:val="multilevel"/>
    <w:tmpl w:val="6352B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1F0E69"/>
    <w:multiLevelType w:val="multilevel"/>
    <w:tmpl w:val="209C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42637B"/>
    <w:multiLevelType w:val="multilevel"/>
    <w:tmpl w:val="5C5A6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FC7E40"/>
    <w:multiLevelType w:val="multilevel"/>
    <w:tmpl w:val="60CAA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2133BF"/>
    <w:multiLevelType w:val="multilevel"/>
    <w:tmpl w:val="C468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49872C2"/>
    <w:multiLevelType w:val="multilevel"/>
    <w:tmpl w:val="A2646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F30602"/>
    <w:multiLevelType w:val="multilevel"/>
    <w:tmpl w:val="750A9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64741D"/>
    <w:multiLevelType w:val="multilevel"/>
    <w:tmpl w:val="A4B68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735E63"/>
    <w:multiLevelType w:val="multilevel"/>
    <w:tmpl w:val="989AB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F15A5A"/>
    <w:multiLevelType w:val="multilevel"/>
    <w:tmpl w:val="E8386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9608DF"/>
    <w:multiLevelType w:val="multilevel"/>
    <w:tmpl w:val="EBFA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EE56B7"/>
    <w:multiLevelType w:val="multilevel"/>
    <w:tmpl w:val="D6980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4D4350"/>
    <w:multiLevelType w:val="multilevel"/>
    <w:tmpl w:val="1B585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8D0798"/>
    <w:multiLevelType w:val="multilevel"/>
    <w:tmpl w:val="20967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4B6D78"/>
    <w:multiLevelType w:val="multilevel"/>
    <w:tmpl w:val="BA68D1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FAC4160"/>
    <w:multiLevelType w:val="multilevel"/>
    <w:tmpl w:val="7AE2A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14"/>
  </w:num>
  <w:num w:numId="4">
    <w:abstractNumId w:val="0"/>
  </w:num>
  <w:num w:numId="5">
    <w:abstractNumId w:val="8"/>
  </w:num>
  <w:num w:numId="6">
    <w:abstractNumId w:val="1"/>
  </w:num>
  <w:num w:numId="7">
    <w:abstractNumId w:val="6"/>
  </w:num>
  <w:num w:numId="8">
    <w:abstractNumId w:val="2"/>
  </w:num>
  <w:num w:numId="9">
    <w:abstractNumId w:val="15"/>
  </w:num>
  <w:num w:numId="10">
    <w:abstractNumId w:val="10"/>
  </w:num>
  <w:num w:numId="11">
    <w:abstractNumId w:val="12"/>
  </w:num>
  <w:num w:numId="12">
    <w:abstractNumId w:val="3"/>
  </w:num>
  <w:num w:numId="13">
    <w:abstractNumId w:val="13"/>
  </w:num>
  <w:num w:numId="14">
    <w:abstractNumId w:val="9"/>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43"/>
    <w:rsid w:val="000237E5"/>
    <w:rsid w:val="000A2CEF"/>
    <w:rsid w:val="00174321"/>
    <w:rsid w:val="00B75778"/>
    <w:rsid w:val="00C16F43"/>
    <w:rsid w:val="00C84742"/>
    <w:rsid w:val="00CA3C1C"/>
    <w:rsid w:val="00CB1C3D"/>
    <w:rsid w:val="00DC3E37"/>
    <w:rsid w:val="00EF70C5"/>
    <w:rsid w:val="00F25537"/>
    <w:rsid w:val="00FD42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4445"/>
  <w15:docId w15:val="{9AF5E2CB-9054-6E45-B74B-1BF4B7F3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333333"/>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uiPriority w:val="9"/>
    <w:qFormat/>
    <w:pPr>
      <w:keepNext/>
      <w:spacing w:before="360" w:after="240"/>
      <w:ind w:left="567" w:hanging="567"/>
      <w:jc w:val="left"/>
      <w:outlineLvl w:val="0"/>
    </w:pPr>
    <w:rPr>
      <w:b/>
      <w:color w:val="000000"/>
      <w:sz w:val="24"/>
      <w:szCs w:val="24"/>
    </w:rPr>
  </w:style>
  <w:style w:type="paragraph" w:styleId="Naslov2">
    <w:name w:val="heading 2"/>
    <w:basedOn w:val="Normal"/>
    <w:next w:val="Normal"/>
    <w:uiPriority w:val="9"/>
    <w:unhideWhenUsed/>
    <w:qFormat/>
    <w:pPr>
      <w:keepNext/>
      <w:spacing w:before="240" w:after="240"/>
      <w:ind w:left="576" w:hanging="576"/>
      <w:outlineLvl w:val="1"/>
    </w:pPr>
    <w:rPr>
      <w:b/>
      <w:color w:val="000000"/>
    </w:rPr>
  </w:style>
  <w:style w:type="paragraph" w:styleId="Naslov3">
    <w:name w:val="heading 3"/>
    <w:basedOn w:val="Normal"/>
    <w:next w:val="Normal"/>
    <w:uiPriority w:val="9"/>
    <w:unhideWhenUsed/>
    <w:qFormat/>
    <w:pPr>
      <w:keepNext/>
      <w:spacing w:before="240" w:after="60"/>
      <w:ind w:left="720" w:hanging="720"/>
      <w:outlineLvl w:val="2"/>
    </w:pPr>
    <w:rPr>
      <w:b/>
      <w:color w:val="263673"/>
      <w:sz w:val="22"/>
      <w:szCs w:val="22"/>
    </w:rPr>
  </w:style>
  <w:style w:type="paragraph" w:styleId="Naslov4">
    <w:name w:val="heading 4"/>
    <w:basedOn w:val="Normal"/>
    <w:next w:val="Normal"/>
    <w:uiPriority w:val="9"/>
    <w:unhideWhenUsed/>
    <w:qFormat/>
    <w:pPr>
      <w:keepNext/>
      <w:keepLines/>
      <w:spacing w:before="40"/>
      <w:ind w:left="864" w:hanging="864"/>
      <w:outlineLvl w:val="3"/>
    </w:pPr>
    <w:rPr>
      <w:rFonts w:ascii="Cambria" w:eastAsia="Cambria" w:hAnsi="Cambria" w:cs="Cambria"/>
      <w:i/>
      <w:color w:val="366091"/>
    </w:rPr>
  </w:style>
  <w:style w:type="paragraph" w:styleId="Naslov5">
    <w:name w:val="heading 5"/>
    <w:basedOn w:val="Normal"/>
    <w:next w:val="Normal"/>
    <w:uiPriority w:val="9"/>
    <w:unhideWhenUsed/>
    <w:qFormat/>
    <w:pPr>
      <w:keepNext/>
      <w:keepLines/>
      <w:spacing w:before="40"/>
      <w:ind w:left="1008" w:hanging="1008"/>
      <w:outlineLvl w:val="4"/>
    </w:pPr>
    <w:rPr>
      <w:rFonts w:ascii="Cambria" w:eastAsia="Cambria" w:hAnsi="Cambria" w:cs="Cambria"/>
      <w:color w:val="366091"/>
    </w:rPr>
  </w:style>
  <w:style w:type="paragraph" w:styleId="Naslov6">
    <w:name w:val="heading 6"/>
    <w:basedOn w:val="Normal"/>
    <w:next w:val="Normal"/>
    <w:uiPriority w:val="9"/>
    <w:semiHidden/>
    <w:unhideWhenUsed/>
    <w:qFormat/>
    <w:pPr>
      <w:keepNext/>
      <w:keepLines/>
      <w:spacing w:before="40"/>
      <w:ind w:left="1152" w:hanging="1152"/>
      <w:outlineLvl w:val="5"/>
    </w:pPr>
    <w:rPr>
      <w:rFonts w:ascii="Cambria" w:eastAsia="Cambria" w:hAnsi="Cambria" w:cs="Cambria"/>
      <w:color w:val="243F6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Obinatablica"/>
    <w:tblPr>
      <w:tblStyleRowBandSize w:val="1"/>
      <w:tblStyleColBandSize w:val="1"/>
      <w:tblCellMar>
        <w:left w:w="115" w:type="dxa"/>
        <w:right w:w="115" w:type="dxa"/>
      </w:tblCellMar>
    </w:tblPr>
    <w:tcPr>
      <w:shd w:val="clear" w:color="auto" w:fill="auto"/>
    </w:tcPr>
  </w:style>
  <w:style w:type="table" w:customStyle="1" w:styleId="a0">
    <w:basedOn w:val="Obinatablica"/>
    <w:tblPr>
      <w:tblStyleRowBandSize w:val="1"/>
      <w:tblStyleColBandSize w:val="1"/>
      <w:tblCellMar>
        <w:left w:w="115" w:type="dxa"/>
        <w:right w:w="115" w:type="dxa"/>
      </w:tblCellMar>
    </w:tblPr>
    <w:tcPr>
      <w:shd w:val="clear" w:color="auto" w:fill="auto"/>
    </w:tcPr>
  </w:style>
  <w:style w:type="table" w:customStyle="1" w:styleId="a1">
    <w:basedOn w:val="Obinatablica"/>
    <w:tblPr>
      <w:tblStyleRowBandSize w:val="1"/>
      <w:tblStyleColBandSize w:val="1"/>
      <w:tblCellMar>
        <w:left w:w="115" w:type="dxa"/>
        <w:right w:w="115" w:type="dxa"/>
      </w:tblCellMar>
    </w:tblPr>
    <w:tcPr>
      <w:shd w:val="clear" w:color="auto" w:fill="auto"/>
    </w:tcPr>
  </w:style>
  <w:style w:type="table" w:customStyle="1" w:styleId="a2">
    <w:basedOn w:val="Obinatablica"/>
    <w:tblPr>
      <w:tblStyleRowBandSize w:val="1"/>
      <w:tblStyleColBandSize w:val="1"/>
      <w:tblCellMar>
        <w:left w:w="115" w:type="dxa"/>
        <w:right w:w="115" w:type="dxa"/>
      </w:tblCellMar>
    </w:tblPr>
    <w:tcPr>
      <w:shd w:val="clear" w:color="auto" w:fill="auto"/>
    </w:tcPr>
  </w:style>
  <w:style w:type="table" w:customStyle="1" w:styleId="a3">
    <w:basedOn w:val="Obinatablica"/>
    <w:tblPr>
      <w:tblStyleRowBandSize w:val="1"/>
      <w:tblStyleColBandSize w:val="1"/>
      <w:tblCellMar>
        <w:left w:w="115" w:type="dxa"/>
        <w:right w:w="115" w:type="dxa"/>
      </w:tblCellMar>
    </w:tblPr>
    <w:tcPr>
      <w:shd w:val="clear" w:color="auto" w:fill="auto"/>
    </w:tcPr>
  </w:style>
  <w:style w:type="table" w:customStyle="1" w:styleId="a4">
    <w:basedOn w:val="Obinatablica"/>
    <w:tblPr>
      <w:tblStyleRowBandSize w:val="1"/>
      <w:tblStyleColBandSize w:val="1"/>
      <w:tblCellMar>
        <w:left w:w="115" w:type="dxa"/>
        <w:right w:w="115" w:type="dxa"/>
      </w:tblCellMar>
    </w:tblPr>
    <w:tcPr>
      <w:shd w:val="clear" w:color="auto" w:fill="auto"/>
    </w:tcPr>
  </w:style>
  <w:style w:type="table" w:customStyle="1" w:styleId="a5">
    <w:basedOn w:val="Obinatablica"/>
    <w:tblPr>
      <w:tblStyleRowBandSize w:val="1"/>
      <w:tblStyleColBandSize w:val="1"/>
      <w:tblCellMar>
        <w:left w:w="115" w:type="dxa"/>
        <w:right w:w="115" w:type="dxa"/>
      </w:tblCellMar>
    </w:tblPr>
    <w:tcPr>
      <w:shd w:val="clear" w:color="auto" w:fill="auto"/>
    </w:tcPr>
  </w:style>
  <w:style w:type="table" w:customStyle="1" w:styleId="a6">
    <w:basedOn w:val="Obinatablica"/>
    <w:tblPr>
      <w:tblStyleRowBandSize w:val="1"/>
      <w:tblStyleColBandSize w:val="1"/>
      <w:tblCellMar>
        <w:left w:w="115" w:type="dxa"/>
        <w:right w:w="115" w:type="dxa"/>
      </w:tblCellMar>
    </w:tblPr>
    <w:tcPr>
      <w:shd w:val="clear" w:color="auto" w:fill="auto"/>
    </w:tcPr>
  </w:style>
  <w:style w:type="table" w:customStyle="1" w:styleId="a7">
    <w:basedOn w:val="Obinatablica"/>
    <w:tblPr>
      <w:tblStyleRowBandSize w:val="1"/>
      <w:tblStyleColBandSize w:val="1"/>
      <w:tblCellMar>
        <w:left w:w="115" w:type="dxa"/>
        <w:right w:w="115" w:type="dxa"/>
      </w:tblCellMar>
    </w:tblPr>
    <w:tcPr>
      <w:shd w:val="clear" w:color="auto" w:fill="auto"/>
    </w:tcPr>
  </w:style>
  <w:style w:type="table" w:customStyle="1" w:styleId="a8">
    <w:basedOn w:val="Obinatablica"/>
    <w:tblPr>
      <w:tblStyleRowBandSize w:val="1"/>
      <w:tblStyleColBandSize w:val="1"/>
      <w:tblCellMar>
        <w:left w:w="115" w:type="dxa"/>
        <w:right w:w="115" w:type="dxa"/>
      </w:tblCellMar>
    </w:tblPr>
    <w:tcPr>
      <w:shd w:val="clear" w:color="auto" w:fill="auto"/>
    </w:tcPr>
  </w:style>
  <w:style w:type="table" w:customStyle="1" w:styleId="a9">
    <w:basedOn w:val="Obinatablica"/>
    <w:tblPr>
      <w:tblStyleRowBandSize w:val="1"/>
      <w:tblStyleColBandSize w:val="1"/>
      <w:tblCellMar>
        <w:left w:w="115" w:type="dxa"/>
        <w:right w:w="115" w:type="dxa"/>
      </w:tblCellMar>
    </w:tblPr>
    <w:tcPr>
      <w:shd w:val="clear" w:color="auto" w:fill="auto"/>
    </w:tcPr>
  </w:style>
  <w:style w:type="table" w:customStyle="1" w:styleId="aa">
    <w:basedOn w:val="Obinatablica"/>
    <w:tblPr>
      <w:tblStyleRowBandSize w:val="1"/>
      <w:tblStyleColBandSize w:val="1"/>
      <w:tblCellMar>
        <w:left w:w="115" w:type="dxa"/>
        <w:right w:w="115" w:type="dxa"/>
      </w:tblCellMar>
    </w:tblPr>
    <w:tcPr>
      <w:shd w:val="clear" w:color="auto" w:fill="auto"/>
    </w:tcPr>
  </w:style>
  <w:style w:type="table" w:customStyle="1" w:styleId="ab">
    <w:basedOn w:val="Obinatablica"/>
    <w:tblPr>
      <w:tblStyleRowBandSize w:val="1"/>
      <w:tblStyleColBandSize w:val="1"/>
      <w:tblCellMar>
        <w:left w:w="115" w:type="dxa"/>
        <w:right w:w="115" w:type="dxa"/>
      </w:tblCellMar>
    </w:tblPr>
    <w:tcPr>
      <w:shd w:val="clear" w:color="auto" w:fill="auto"/>
    </w:tcPr>
  </w:style>
  <w:style w:type="table" w:customStyle="1" w:styleId="ac">
    <w:basedOn w:val="Obinatablica"/>
    <w:tblPr>
      <w:tblStyleRowBandSize w:val="1"/>
      <w:tblStyleColBandSize w:val="1"/>
      <w:tblCellMar>
        <w:left w:w="115" w:type="dxa"/>
        <w:right w:w="115" w:type="dxa"/>
      </w:tblCellMar>
    </w:tblPr>
    <w:tcPr>
      <w:shd w:val="clear" w:color="auto" w:fill="auto"/>
    </w:tcPr>
  </w:style>
  <w:style w:type="table" w:customStyle="1" w:styleId="ad">
    <w:basedOn w:val="Obinatablica"/>
    <w:tblPr>
      <w:tblStyleRowBandSize w:val="1"/>
      <w:tblStyleColBandSize w:val="1"/>
      <w:tblCellMar>
        <w:left w:w="115" w:type="dxa"/>
        <w:right w:w="115" w:type="dxa"/>
      </w:tblCellMar>
    </w:tblPr>
    <w:tcPr>
      <w:shd w:val="clear" w:color="auto" w:fill="auto"/>
    </w:tcPr>
  </w:style>
  <w:style w:type="table" w:customStyle="1" w:styleId="ae">
    <w:basedOn w:val="Obinatablica"/>
    <w:tblPr>
      <w:tblStyleRowBandSize w:val="1"/>
      <w:tblStyleColBandSize w:val="1"/>
      <w:tblCellMar>
        <w:left w:w="115" w:type="dxa"/>
        <w:right w:w="115" w:type="dxa"/>
      </w:tblCellMar>
    </w:tblPr>
    <w:tcPr>
      <w:shd w:val="clear" w:color="auto" w:fill="auto"/>
    </w:tcPr>
  </w:style>
  <w:style w:type="table" w:customStyle="1" w:styleId="af">
    <w:basedOn w:val="Obinatablica"/>
    <w:tblPr>
      <w:tblStyleRowBandSize w:val="1"/>
      <w:tblStyleColBandSize w:val="1"/>
      <w:tblCellMar>
        <w:left w:w="115" w:type="dxa"/>
        <w:right w:w="115" w:type="dxa"/>
      </w:tblCellMar>
    </w:tblPr>
    <w:tcPr>
      <w:shd w:val="clear" w:color="auto" w:fill="auto"/>
    </w:tcPr>
  </w:style>
  <w:style w:type="table" w:customStyle="1" w:styleId="af0">
    <w:basedOn w:val="Obinatablica"/>
    <w:tblPr>
      <w:tblStyleRowBandSize w:val="1"/>
      <w:tblStyleColBandSize w:val="1"/>
      <w:tblCellMar>
        <w:left w:w="115" w:type="dxa"/>
        <w:right w:w="115" w:type="dxa"/>
      </w:tblCellMar>
    </w:tblPr>
    <w:tcPr>
      <w:shd w:val="clear" w:color="auto" w:fill="auto"/>
    </w:tcPr>
  </w:style>
  <w:style w:type="table" w:customStyle="1" w:styleId="af1">
    <w:basedOn w:val="Obinatablica"/>
    <w:tblPr>
      <w:tblStyleRowBandSize w:val="1"/>
      <w:tblStyleColBandSize w:val="1"/>
      <w:tblCellMar>
        <w:left w:w="115" w:type="dxa"/>
        <w:right w:w="115" w:type="dxa"/>
      </w:tblCellMar>
    </w:tblPr>
    <w:tcPr>
      <w:shd w:val="clear" w:color="auto" w:fill="auto"/>
    </w:tcPr>
  </w:style>
  <w:style w:type="table" w:customStyle="1" w:styleId="af2">
    <w:basedOn w:val="Obinatablica"/>
    <w:tblPr>
      <w:tblStyleRowBandSize w:val="1"/>
      <w:tblStyleColBandSize w:val="1"/>
      <w:tblCellMar>
        <w:left w:w="115" w:type="dxa"/>
        <w:right w:w="115" w:type="dxa"/>
      </w:tblCellMar>
    </w:tblPr>
    <w:tcPr>
      <w:shd w:val="clear" w:color="auto" w:fill="auto"/>
    </w:tcPr>
  </w:style>
  <w:style w:type="table" w:customStyle="1" w:styleId="af3">
    <w:basedOn w:val="Obinatablica"/>
    <w:tblPr>
      <w:tblStyleRowBandSize w:val="1"/>
      <w:tblStyleColBandSize w:val="1"/>
      <w:tblCellMar>
        <w:left w:w="115" w:type="dxa"/>
        <w:right w:w="115" w:type="dxa"/>
      </w:tblCellMar>
    </w:tblPr>
    <w:tcPr>
      <w:shd w:val="clear" w:color="auto" w:fill="auto"/>
    </w:tcPr>
  </w:style>
  <w:style w:type="table" w:customStyle="1" w:styleId="af4">
    <w:basedOn w:val="Obinatablica"/>
    <w:tblPr>
      <w:tblStyleRowBandSize w:val="1"/>
      <w:tblStyleColBandSize w:val="1"/>
      <w:tblCellMar>
        <w:left w:w="115" w:type="dxa"/>
        <w:right w:w="115" w:type="dxa"/>
      </w:tblCellMar>
    </w:tblPr>
    <w:tcPr>
      <w:shd w:val="clear" w:color="auto" w:fill="auto"/>
    </w:tcPr>
  </w:style>
  <w:style w:type="table" w:customStyle="1" w:styleId="af5">
    <w:basedOn w:val="Obinatablica"/>
    <w:tblPr>
      <w:tblStyleRowBandSize w:val="1"/>
      <w:tblStyleColBandSize w:val="1"/>
      <w:tblCellMar>
        <w:left w:w="115" w:type="dxa"/>
        <w:right w:w="115" w:type="dxa"/>
      </w:tblCellMar>
    </w:tblPr>
    <w:tcPr>
      <w:shd w:val="clear" w:color="auto" w:fill="auto"/>
    </w:tcPr>
  </w:style>
  <w:style w:type="table" w:customStyle="1" w:styleId="af6">
    <w:basedOn w:val="Obinatablica"/>
    <w:tblPr>
      <w:tblStyleRowBandSize w:val="1"/>
      <w:tblStyleColBandSize w:val="1"/>
      <w:tblCellMar>
        <w:left w:w="115" w:type="dxa"/>
        <w:right w:w="115" w:type="dxa"/>
      </w:tblCellMar>
    </w:tblPr>
    <w:tcPr>
      <w:shd w:val="clear" w:color="auto" w:fill="auto"/>
    </w:tcPr>
  </w:style>
  <w:style w:type="table" w:customStyle="1" w:styleId="af7">
    <w:basedOn w:val="Obinatablica"/>
    <w:tblPr>
      <w:tblStyleRowBandSize w:val="1"/>
      <w:tblStyleColBandSize w:val="1"/>
      <w:tblCellMar>
        <w:left w:w="115" w:type="dxa"/>
        <w:right w:w="115" w:type="dxa"/>
      </w:tblCellMar>
    </w:tblPr>
    <w:tcPr>
      <w:shd w:val="clear" w:color="auto" w:fill="auto"/>
    </w:tcPr>
  </w:style>
  <w:style w:type="table" w:customStyle="1" w:styleId="af8">
    <w:basedOn w:val="Obinatablica"/>
    <w:tblPr>
      <w:tblStyleRowBandSize w:val="1"/>
      <w:tblStyleColBandSize w:val="1"/>
      <w:tblCellMar>
        <w:left w:w="115" w:type="dxa"/>
        <w:right w:w="115" w:type="dxa"/>
      </w:tblCellMar>
    </w:tblPr>
    <w:tcPr>
      <w:shd w:val="clear" w:color="auto" w:fill="auto"/>
    </w:tcPr>
  </w:style>
  <w:style w:type="table" w:customStyle="1" w:styleId="af9">
    <w:basedOn w:val="Obinatablica"/>
    <w:tblPr>
      <w:tblStyleRowBandSize w:val="1"/>
      <w:tblStyleColBandSize w:val="1"/>
      <w:tblCellMar>
        <w:left w:w="115" w:type="dxa"/>
        <w:right w:w="115" w:type="dxa"/>
      </w:tblCellMar>
    </w:tblPr>
    <w:tcPr>
      <w:shd w:val="clear" w:color="auto" w:fill="auto"/>
    </w:tcPr>
  </w:style>
  <w:style w:type="table" w:customStyle="1" w:styleId="afa">
    <w:basedOn w:val="Obinatablica"/>
    <w:tblPr>
      <w:tblStyleRowBandSize w:val="1"/>
      <w:tblStyleColBandSize w:val="1"/>
      <w:tblCellMar>
        <w:left w:w="115" w:type="dxa"/>
        <w:right w:w="115" w:type="dxa"/>
      </w:tblCellMar>
    </w:tblPr>
    <w:tcPr>
      <w:shd w:val="clear" w:color="auto" w:fill="auto"/>
    </w:tcPr>
  </w:style>
  <w:style w:type="table" w:customStyle="1" w:styleId="afb">
    <w:basedOn w:val="Obinatablica"/>
    <w:tblPr>
      <w:tblStyleRowBandSize w:val="1"/>
      <w:tblStyleColBandSize w:val="1"/>
      <w:tblCellMar>
        <w:left w:w="115" w:type="dxa"/>
        <w:right w:w="115" w:type="dxa"/>
      </w:tblCellMar>
    </w:tblPr>
    <w:tcPr>
      <w:shd w:val="clear" w:color="auto" w:fill="auto"/>
    </w:tcPr>
  </w:style>
  <w:style w:type="table" w:customStyle="1" w:styleId="afc">
    <w:basedOn w:val="Obinatablica"/>
    <w:tblPr>
      <w:tblStyleRowBandSize w:val="1"/>
      <w:tblStyleColBandSize w:val="1"/>
      <w:tblCellMar>
        <w:left w:w="115" w:type="dxa"/>
        <w:right w:w="115" w:type="dxa"/>
      </w:tblCellMar>
    </w:tblPr>
    <w:tcPr>
      <w:shd w:val="clear" w:color="auto" w:fill="auto"/>
    </w:tcPr>
  </w:style>
  <w:style w:type="table" w:customStyle="1" w:styleId="afd">
    <w:basedOn w:val="Obinatablica"/>
    <w:tblPr>
      <w:tblStyleRowBandSize w:val="1"/>
      <w:tblStyleColBandSize w:val="1"/>
      <w:tblCellMar>
        <w:left w:w="115" w:type="dxa"/>
        <w:right w:w="115" w:type="dxa"/>
      </w:tblCellMar>
    </w:tblPr>
    <w:tcPr>
      <w:shd w:val="clear" w:color="auto" w:fill="auto"/>
    </w:tcPr>
  </w:style>
  <w:style w:type="table" w:customStyle="1" w:styleId="afe">
    <w:basedOn w:val="Obinatablica"/>
    <w:tblPr>
      <w:tblStyleRowBandSize w:val="1"/>
      <w:tblStyleColBandSize w:val="1"/>
      <w:tblCellMar>
        <w:left w:w="115" w:type="dxa"/>
        <w:right w:w="115" w:type="dxa"/>
      </w:tblCellMar>
    </w:tblPr>
    <w:tcPr>
      <w:shd w:val="clear" w:color="auto" w:fill="auto"/>
    </w:tcPr>
  </w:style>
  <w:style w:type="table" w:customStyle="1" w:styleId="aff">
    <w:basedOn w:val="Obinatablica"/>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zhteO1rf9fHnEffOKgo3IpV9A==">CgMxLjAyDmguNWVob2p3aGdwaXkwMgloLjMwajB6bGwyDmguZW81cDZkdzZwaTBnOAByITFUTTdkVjdhbmhlZmdzXzNfQ3E2RmpkYnZvUEtLT2ptYw==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63A31A662FB4CA634F5314B3C2559" ma:contentTypeVersion="6" ma:contentTypeDescription="Create a new document." ma:contentTypeScope="" ma:versionID="55d266161778117c8f4ba97daa973102">
  <xsd:schema xmlns:xsd="http://www.w3.org/2001/XMLSchema" xmlns:xs="http://www.w3.org/2001/XMLSchema" xmlns:p="http://schemas.microsoft.com/office/2006/metadata/properties" xmlns:ns2="8b0176ca-e3a7-4435-b808-753d8e80a101" xmlns:ns3="d621d727-55bd-4dd6-b7a7-ddd2c77a040c" targetNamespace="http://schemas.microsoft.com/office/2006/metadata/properties" ma:root="true" ma:fieldsID="a3143190d2a9ae819ef5b3a50a8fbddf" ns2:_="" ns3:_="">
    <xsd:import namespace="8b0176ca-e3a7-4435-b808-753d8e80a101"/>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176ca-e3a7-4435-b808-753d8e80a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B9CD24-AC64-448A-A4A2-BBDA1BB658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35D591-7229-44ED-B69A-01885B2B7B07}">
  <ds:schemaRefs>
    <ds:schemaRef ds:uri="http://schemas.microsoft.com/sharepoint/v3/contenttype/forms"/>
  </ds:schemaRefs>
</ds:datastoreItem>
</file>

<file path=customXml/itemProps4.xml><?xml version="1.0" encoding="utf-8"?>
<ds:datastoreItem xmlns:ds="http://schemas.openxmlformats.org/officeDocument/2006/customXml" ds:itemID="{0BDF5DF5-8F85-4D11-99BB-6AD9C5F1E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176ca-e3a7-4435-b808-753d8e80a101"/>
    <ds:schemaRef ds:uri="d621d727-55bd-4dd6-b7a7-ddd2c77a0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5070</Words>
  <Characters>28901</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Vujčić Ksenija</dc:creator>
  <cp:lastModifiedBy>Vujčić Ksenija</cp:lastModifiedBy>
  <cp:revision>2</cp:revision>
  <dcterms:created xsi:type="dcterms:W3CDTF">2024-10-11T12:50:00Z</dcterms:created>
  <dcterms:modified xsi:type="dcterms:W3CDTF">2024-10-11T12:50:00Z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0x0101001A063A31A662FB4CA634F5314B3C2559</vt:lpwstr>
  </property>
</Properties>
</file>